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Система тестування GLSL коду на базі Raspberry PI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Raspberry PI-based GLSL code testing system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28.06.2024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004.92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Музичук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Андрій Андрійович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Muzychuk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Andriy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Степанівна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Мудрик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Іван Ярославович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Mudryk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Ivan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Комп’ютерна система, Raspberry PI, OpenGl Shader Language, Веб-інтерфейс, тестування коду</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 system, Raspberry PI, OpenGL Shader Language, web interface, code testing</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Метою даної кваліфікаційної роботи бакалавра є проектування та реалізація системи тестування GLSL коду на базі Raspberry PI.</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кваліфікаційній роботі бакалавра спроектовано архітектуру системи тестування GLSL коду на базі Raspberry PI, розроблено програмне забезпечення, веб-інтерфейс для реалізації необхідного функціоналу.</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Налаштовано операційну систему Raspberry PI OS, встановлено необхідні бібліотеки і залежності, що дало можливість відправляти та тестувати код через веб-інтерфейс, щоб визначати його роботоздатність і продуктивність.</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aim of this bachelor's qualification work is the design and implementation of a GLSL code testing system based on Raspberry PI.</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bachelor's qualification work, the architecture of the GLSL code testing system based on Raspberry PI is designed, and software and a web interface for implementing the necessary functionality are developed.</w:t>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Raspberry PI OS operating system has been configured, and the necessary libraries and dependencies have been installed, allowing code to be sent and tested through the web interface to determine its functionality and performance.</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