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Технології оптимізації процесів розробки комп’ютерних систем на основі інтелектуального аналізу відгуків користувачів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Technologies for optimizing the development processes of computer systems based on intelligent analysis of user feedback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26.12.0023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90</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004.02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Горбач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Олександр Олександрович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Horbach</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Oleksandr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Яцишин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Yatsyshyn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Марценко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Сергій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Martsenko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Serhii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розробка, комп’ютерна система, аналіз, відгук, користувач</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development, computer system, analysis, feedback, user</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кваліфікаційній роботі магістра проведено аналіз базових процесів життєвого циклу комп’ютерних систем і моделей, у яких вони реалізовані. Досліджено особливості лінійних та нелінійних моделей життєвого циклу розробки КС, що дало змогу обґрунтувати доцільність їх модифікації шляхом інтеграції процесів залучення користувачів на етапі визначення вимог та безпосередньої реалізації системи.</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Запропоновано формально-математичний опис відгуків користувачів щодо характеристик комп’ютерних систем із застосуванням моделі кортежа, компонентами якого є сутності, їхні аспекти, тональність, дані про користувача і час написання тексту відгуку. </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Спроектовано структуру бази даних, що орієнтована на зберігання та опрацювання даних необхідних у процесі аналізу відгуку користувачів та побудовано і програмно реалізовано архітектуру інструментального засобу підтримки процесу аналізу відгуків користувачів.</w:t>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master's qualification work analyzed the basic processes of the life cycle of computer systems and the models in which they are implemented. The peculiarities of linear and non-linear life cycle models of CS development were studied, which made it possible to substantiate the expediency of their modification by integrating the processes of user involvement at the stage of defining requirements and direct implementation of the system. </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formal-mathematical description of user feedback on the characteristics of computer systems is proposed using the tuple model, the components of which are entities, their aspects, tonality, data about the user and the time of writing the feedback text. </w:t>
      </w:r>
    </w:p>
    <w:p w:rsidR="00000000" w:rsidDel="00000000" w:rsidP="00000000" w:rsidRDefault="00000000" w:rsidRPr="00000000" w14:paraId="0000003E">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structure of the database focused on storing and processing the data necessary in the process of user feedback analysis was designed, and the architecture of the tool support for the user feedback analysis process was built and implemented in software.</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