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віддаленого керування світлогенеруючою матрицею на основі Arduino Mega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system of remote control of light-generating matrix based on Arduino Mega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23.06.2023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628.9</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Городецька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Яніна Романівна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Horodetska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Yanina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Лещишин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Юрій Зіновійович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Leshchyshyn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Yurii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Мудрик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Іван Ярославович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Mudryk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Ivan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філософії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Система, звук, віддалене керування, матриця, перетворення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System, sound, remote control, matrix, conversion</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проєктування кваліфікаційної роботи виконано зазначеної мети щодо реалізації комп’ютеризованої системи віддаленого керування світлогенеруючою матрицею на основі Arduino Mega за допомогою методів та засобів бездротового зв’язку і спектрального аналізу аналогових звукових сигналів.</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Апаратне забезпечення проєкту містить Bluetooth-модуль, мікрофонний модуль з автоматичним регулюванням коефіцієнта підсилення, світлогенеруючу матрицю та мікроконтролер Arduino Mega 2560, який виконує налаштування та розподілення команд до основних компонентів. Програмне забезпечення розроблено як і для функціонування системи в цілому, так і для підтримки зв’язку між користувачем, за допомогою мови програмування С/С++ та бібліотек, які знаходяться у відкритому доступі.</w:t>
      </w:r>
    </w:p>
    <w:p w:rsidR="00000000" w:rsidDel="00000000" w:rsidP="00000000" w:rsidRDefault="00000000" w:rsidRPr="00000000" w14:paraId="00000037">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B">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design of the qualification work, the stated goal of implementing a computerized system of remote control of the light-generating matrix based on Arduino Mega using methods and means of wireless communication and spectral analysis of analog sound signals was fulfilled.</w:t>
      </w:r>
    </w:p>
    <w:p w:rsidR="00000000" w:rsidDel="00000000" w:rsidP="00000000" w:rsidRDefault="00000000" w:rsidRPr="00000000" w14:paraId="0000003C">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hardware of the project includes a Bluetooth module, a microphone module with automatic gain adjustment, a light-generating matrix and an Arduino Mega 2560 microcontroller, which performs configuration and distribution of commands to the main components. The software is developed both for the functioning of the system as a whole, and for maintaining communication between the user, using the C/C++ programming language and libraries that are in public access.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