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Комп'ютерна система відтворення рухів людини у віртуальному просторі на базі гіроскопів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 system for reproduction of human movements in virtual space based on gyroscopes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14.06.2023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66</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Соколов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Олександр Михайлович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Sokolov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Oleksandr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Жаровський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Руслан Олегович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Zharovskyi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Ruslan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Никитюк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Вячеслав Вячеславович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Nykytyuk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Vyacheslav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завідувач кафедрою</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VR трекер,  Full body, трекінг, плагін, Steam Vr</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VR tracker, Full body, tracking, plugin, Steam VR.</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курсовому проекті побудовано систему захоплення і передачі рухів людини в віртуальний простір за допомогою використання VR трекерів. Описано загальну структуру та принцип роботи VR трекерів. Наведено опис деталей трекера, алгоритм роботи плагіну для Steam VR, та структури системи. Описано використовувані команди та код плагіну для Steam VR.</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Пояснювальна записка містить 4 розділи.</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першому розділі здійснюється аналіз предметної області. Наведено пояснення шо таке VR трекер та види трекінгу. Докладно розглянуто види трекінгу їх переваги та недоліки.</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другому розділі описані компоненти і особливості побудови VR трекера та наведено алгоритм роботи плагіну для програми Steam VR.</w:t>
      </w:r>
    </w:p>
    <w:p w:rsidR="00000000" w:rsidDel="00000000" w:rsidP="00000000" w:rsidRDefault="00000000" w:rsidRPr="00000000" w14:paraId="00000039">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третьому розділі показано як прошити компоненти VR трекера, підключення трекера до ПК та результати роботи VR трекера.</w:t>
      </w:r>
    </w:p>
    <w:p w:rsidR="00000000" w:rsidDel="00000000" w:rsidP="00000000" w:rsidRDefault="00000000" w:rsidRPr="00000000" w14:paraId="0000003A">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четвертому розділі розглянуті питання охорони праці та вимоги з техніки безпеки в VR.</w:t>
      </w:r>
    </w:p>
    <w:p w:rsidR="00000000" w:rsidDel="00000000" w:rsidP="00000000" w:rsidRDefault="00000000" w:rsidRPr="00000000" w14:paraId="0000003B">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E">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course project, a system for capturing and transmitting human movements into virtual space using VR trackers is built. The general structure and principle of operation of VR trackers are described. A description of the tracker details, the algorithm of the Steam VR plugin, and the system structure is given. The commands used and the code of the Steam VR plugin are described.</w:t>
      </w:r>
    </w:p>
    <w:p w:rsidR="00000000" w:rsidDel="00000000" w:rsidP="00000000" w:rsidRDefault="00000000" w:rsidRPr="00000000" w14:paraId="00000040">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explanatory note contains 4 sections.</w:t>
      </w:r>
    </w:p>
    <w:p w:rsidR="00000000" w:rsidDel="00000000" w:rsidP="00000000" w:rsidRDefault="00000000" w:rsidRPr="00000000" w14:paraId="00000041">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section analyzes the subject area. It explains what a VR tracker is and the types of tracking. The types of tracking, their advantages and disadvantages are discussed in detail.</w:t>
      </w:r>
    </w:p>
    <w:p w:rsidR="00000000" w:rsidDel="00000000" w:rsidP="00000000" w:rsidRDefault="00000000" w:rsidRPr="00000000" w14:paraId="00000042">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section describes the components and features of building a VR tracker and provides the algorithm of the plugin for the Steam VR program.</w:t>
      </w:r>
    </w:p>
    <w:p w:rsidR="00000000" w:rsidDel="00000000" w:rsidP="00000000" w:rsidRDefault="00000000" w:rsidRPr="00000000" w14:paraId="00000043">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third section shows how to flash VR tracker components, connect the tracker to a PC, and the results of VR tracker operation.</w:t>
      </w:r>
    </w:p>
    <w:p w:rsidR="00000000" w:rsidDel="00000000" w:rsidP="00000000" w:rsidRDefault="00000000" w:rsidRPr="00000000" w14:paraId="00000044">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fourth section discusses labor protection issues and safety requirements in VR.</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