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візуалізації тривимірних моделей на основі технологій доповненої реальності</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visualization system of three-dimensional models based on augmented reality technologies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20.06.2023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55</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004.9</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Іваницький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Віктор Андрійович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Ivanytskyi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Viktor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Баран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Оегович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Baran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декан факультету комп’ютерно- інформаційних систем і програмної інженерії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факультет комп’ютерно- інформаційних систем і програмної інженерії</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Бойко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Boiko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фізико-математичних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доповнена реальність, комп'ютерний зір, 3d модель, комп'ютерна графіка</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augmented reality, computer vision, 3d model, computer graphics</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присвячена створенню додатку візуалізації тривимірних моделей з використанням можливостей доповненої реальності.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Розглянуто поняття доповненої реальності, її історія, сучасність та основні сфери застосування (розваги, виробництво, медицина, освіта та ін.), а також її ймовірний розвиток упродовж найближчого часу. Проведено огляд основних програмних засобів створення систем доповненої реальності. Здійснено вибір платформи розробки iOS 14 і вище з використанням фреймворків ARKit, SceneKit і UIKit та мови програмування Swift.</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Побудовано алгоритм роботи та докладно розглянуто етапи та принципи реалізації, а також характерні моменти розробки. Також у ході реалізації було освоєно роботу у програмі Blender та використання python скриптів для побудови тривимірних моделей.</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Результати проведеного тестування створеного додатку дозволяють стверджувати, що мета виконання роботи досягнута повністю.</w:t>
      </w:r>
    </w:p>
    <w:p w:rsidR="00000000" w:rsidDel="00000000" w:rsidP="00000000" w:rsidRDefault="00000000" w:rsidRPr="00000000" w14:paraId="00000039">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qualification work deals with the development of an IoT system that prevents users from possible contact The qualification work deals with the creation of an application for visualization of three-dimensional models using the capabilities of augmented reality.</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concept of augmented reality, its history, modernity and main areas of application (entertainment, production, medicine, education, etc.), as well as its likely development in the near future, are considered. An overview of the main software tools for creating augmented reality systems was conducted. The selection of the development platform iOS 14 and higher using the ARKit, SceneKit and UIKit frameworks and the Swift programming language was made.</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 algorithm was built and the stages and principles of implementation, as well as the characteristic points of the development, were considered in detail. Also, in the course of the implementation, work in the Blender program and the use of python scripts for building three-dimensional models were mastered.</w:t>
      </w:r>
    </w:p>
    <w:p w:rsidR="00000000" w:rsidDel="00000000" w:rsidP="00000000" w:rsidRDefault="00000000" w:rsidRPr="00000000" w14:paraId="00000040">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results of the testing of the created application allow us to state that the goal of the work has been fully achieved.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