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Система автоматичного регулювання рівня освітленості з можливістю віддаленого керування та моніторингу на основі Raspberry PI</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Automatic adjustment system of illumination level with possible remote control and monitoring based on Raspberry PI</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38</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23.06.2023</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67</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004.3</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Головецький</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Назар Михайлович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Holovetskyi</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Nazar</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Шингера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Наталія Ярославівна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Shynhera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Natalya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комп’ютерної інженерії, м.Тернопіль, Україна</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Кряжич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Ольга Олександрівна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Kryazych</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Olha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наук,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система, регулювання, освітлення, керування, моніторинг, Raspberry PI</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system, adjustment, illumination, control, monitoring, Raspberry PI</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кваліфікаційній роботі спроектовано та забезпечено налаштування компонентів системи автоматичного регулювання освітленості з можливістю віддаленого керування та моніторингу на основі мікроконтролера Raspberry PI. </w:t>
      </w:r>
    </w:p>
    <w:p w:rsidR="00000000" w:rsidDel="00000000" w:rsidP="00000000" w:rsidRDefault="00000000" w:rsidRPr="00000000" w14:paraId="00000036">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Основними апаратними складовими системи є безпосередньо сам мінікомп’ютер, сенсор рівня освітленості TSL 2561, реле та джерело штучного освітлення. До основних програмних компонентів належать програмне забезпечення керування віддаленим доступом, що функціонує як простий веб-сервер на Raspberry PI реалізований на фреймворку bottle, сервіс формування та управління розкладом увімкнення/вимкнення освітленості, а також системне програмне забезпечення для забезпечення можливості одержання даних із датчика світла. </w:t>
      </w:r>
    </w:p>
    <w:p w:rsidR="00000000" w:rsidDel="00000000" w:rsidP="00000000" w:rsidRDefault="00000000" w:rsidRPr="00000000" w14:paraId="00000037">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запуску сценаріїв управління освітленням використовується системні сервіси cron та crontab.</w:t>
      </w:r>
    </w:p>
    <w:p w:rsidR="00000000" w:rsidDel="00000000" w:rsidP="00000000" w:rsidRDefault="00000000" w:rsidRPr="00000000" w14:paraId="00000038">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9">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A">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B">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C">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qualifying work, the configuration of the components of the automatic lighting control system with the possibility of remote control and monitoring based on the Raspberry PI microcontroller was designed and provided. </w:t>
      </w:r>
    </w:p>
    <w:p w:rsidR="00000000" w:rsidDel="00000000" w:rsidP="00000000" w:rsidRDefault="00000000" w:rsidRPr="00000000" w14:paraId="0000003D">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main hardware components of the system are directly the minicomputer itself, the TSL 2561 light level sensor, a relay and a source of artificial lighting. The main software components include remote access control software that functions as a simple web server on Raspberry PI implemented on the bottle framework, a service for creating and managing the lighting on/off schedule, as well as system software to ensure the possibility of receiving data from the light sensor. </w:t>
      </w:r>
    </w:p>
    <w:p w:rsidR="00000000" w:rsidDel="00000000" w:rsidP="00000000" w:rsidRDefault="00000000" w:rsidRPr="00000000" w14:paraId="0000003E">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The cron and crontab system services are used to run lighting control scripts.</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