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4D" w:rsidRPr="00122633" w:rsidRDefault="0068744D" w:rsidP="0068744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2633">
        <w:rPr>
          <w:rFonts w:ascii="Times New Roman" w:hAnsi="Times New Roman" w:cs="Times New Roman"/>
          <w:b/>
          <w:sz w:val="24"/>
          <w:szCs w:val="24"/>
          <w:lang w:val="ru-RU"/>
        </w:rPr>
        <w:t>УДК 338.439.</w:t>
      </w:r>
    </w:p>
    <w:p w:rsidR="00ED7B09" w:rsidRPr="00715B3A" w:rsidRDefault="0068744D" w:rsidP="000973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5B3A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715B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АРУБІЖНИЙ ДОСВІД ДЕРЖАВНОГО РЕГУЛЮВАННЯ ЗАБЕЗПЕЧЕННЯ ПРОДОВОЛЬЧОЇ БЕЗПЕКИ </w:t>
      </w:r>
    </w:p>
    <w:p w:rsidR="00715B3A" w:rsidRPr="00CA4A29" w:rsidRDefault="00715B3A" w:rsidP="00715B3A">
      <w:pPr>
        <w:pStyle w:val="a6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C646B">
        <w:rPr>
          <w:rFonts w:ascii="Times New Roman" w:hAnsi="Times New Roman"/>
          <w:b/>
          <w:sz w:val="24"/>
          <w:szCs w:val="24"/>
          <w:lang w:val="ru-RU"/>
        </w:rPr>
        <w:t>Людмила Артеменко</w:t>
      </w:r>
    </w:p>
    <w:p w:rsidR="00715B3A" w:rsidRPr="00EC646B" w:rsidRDefault="00715B3A" w:rsidP="00715B3A">
      <w:pPr>
        <w:pStyle w:val="a6"/>
        <w:jc w:val="right"/>
        <w:rPr>
          <w:rFonts w:ascii="Times New Roman" w:hAnsi="Times New Roman"/>
          <w:sz w:val="24"/>
          <w:szCs w:val="24"/>
          <w:lang w:val="ru-RU"/>
        </w:rPr>
      </w:pPr>
      <w:r w:rsidRPr="00EC646B">
        <w:rPr>
          <w:rFonts w:ascii="Times New Roman" w:hAnsi="Times New Roman"/>
          <w:sz w:val="24"/>
          <w:szCs w:val="24"/>
          <w:lang w:val="ru-RU"/>
        </w:rPr>
        <w:t xml:space="preserve">кандидат економічних наук, доцент </w:t>
      </w:r>
    </w:p>
    <w:p w:rsidR="00715B3A" w:rsidRPr="00EC646B" w:rsidRDefault="00715B3A" w:rsidP="00715B3A">
      <w:pPr>
        <w:pStyle w:val="a6"/>
        <w:jc w:val="right"/>
        <w:rPr>
          <w:rFonts w:ascii="Times New Roman" w:hAnsi="Times New Roman"/>
          <w:sz w:val="24"/>
          <w:szCs w:val="24"/>
          <w:lang w:val="ru-RU"/>
        </w:rPr>
      </w:pPr>
      <w:r w:rsidRPr="00EC646B">
        <w:rPr>
          <w:rFonts w:ascii="Times New Roman" w:hAnsi="Times New Roman"/>
          <w:sz w:val="24"/>
          <w:szCs w:val="24"/>
          <w:lang w:val="ru-RU"/>
        </w:rPr>
        <w:t xml:space="preserve">доцент кафедри економіки та фінансів </w:t>
      </w:r>
    </w:p>
    <w:p w:rsidR="00715B3A" w:rsidRPr="00EC646B" w:rsidRDefault="00715B3A" w:rsidP="00715B3A">
      <w:pPr>
        <w:pStyle w:val="a6"/>
        <w:jc w:val="right"/>
        <w:rPr>
          <w:rFonts w:ascii="Times New Roman" w:hAnsi="Times New Roman"/>
          <w:sz w:val="24"/>
          <w:szCs w:val="24"/>
          <w:lang w:val="ru-RU"/>
        </w:rPr>
      </w:pPr>
      <w:r w:rsidRPr="00EC646B">
        <w:rPr>
          <w:rFonts w:ascii="Times New Roman" w:hAnsi="Times New Roman"/>
          <w:sz w:val="24"/>
          <w:szCs w:val="24"/>
          <w:lang w:val="ru-RU"/>
        </w:rPr>
        <w:t xml:space="preserve">Тернопільський національний технічний університет імені Івана Пулюя </w:t>
      </w:r>
    </w:p>
    <w:p w:rsidR="00715B3A" w:rsidRDefault="00715B3A" w:rsidP="00715B3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EC646B">
        <w:rPr>
          <w:rFonts w:ascii="Times New Roman" w:hAnsi="Times New Roman"/>
          <w:sz w:val="24"/>
          <w:szCs w:val="24"/>
          <w:lang w:val="ru-RU"/>
        </w:rPr>
        <w:t>м</w:t>
      </w:r>
      <w:r w:rsidRPr="005454A0">
        <w:rPr>
          <w:rFonts w:ascii="Times New Roman" w:hAnsi="Times New Roman"/>
          <w:sz w:val="24"/>
          <w:szCs w:val="24"/>
        </w:rPr>
        <w:t xml:space="preserve">. </w:t>
      </w:r>
      <w:r w:rsidRPr="00EC646B">
        <w:rPr>
          <w:rFonts w:ascii="Times New Roman" w:hAnsi="Times New Roman"/>
          <w:sz w:val="24"/>
          <w:szCs w:val="24"/>
          <w:lang w:val="ru-RU"/>
        </w:rPr>
        <w:t>Тернопіль</w:t>
      </w:r>
      <w:r w:rsidRPr="005454A0">
        <w:rPr>
          <w:rFonts w:ascii="Times New Roman" w:hAnsi="Times New Roman"/>
          <w:sz w:val="24"/>
          <w:szCs w:val="24"/>
        </w:rPr>
        <w:t xml:space="preserve">, </w:t>
      </w:r>
      <w:r w:rsidRPr="00EC646B">
        <w:rPr>
          <w:rFonts w:ascii="Times New Roman" w:hAnsi="Times New Roman"/>
          <w:sz w:val="24"/>
          <w:szCs w:val="24"/>
          <w:lang w:val="ru-RU"/>
        </w:rPr>
        <w:t>Україна</w:t>
      </w:r>
    </w:p>
    <w:p w:rsidR="00715B3A" w:rsidRDefault="00715B3A" w:rsidP="00715B3A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Liudmyla Artemenko</w:t>
      </w:r>
    </w:p>
    <w:p w:rsidR="00715B3A" w:rsidRDefault="00715B3A" w:rsidP="00715B3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PhD (Economics), Associate Professor</w:t>
      </w:r>
    </w:p>
    <w:p w:rsidR="00715B3A" w:rsidRDefault="00715B3A" w:rsidP="00715B3A">
      <w:pPr>
        <w:pStyle w:val="Default"/>
        <w:jc w:val="right"/>
      </w:pPr>
      <w:r>
        <w:rPr>
          <w:sz w:val="23"/>
          <w:szCs w:val="23"/>
        </w:rPr>
        <w:t xml:space="preserve">Associate Professor </w:t>
      </w:r>
      <w:r w:rsidRPr="009C593E">
        <w:t xml:space="preserve">of </w:t>
      </w:r>
      <w:r>
        <w:t xml:space="preserve">the </w:t>
      </w:r>
      <w:r w:rsidRPr="009C593E">
        <w:t>Economics and Finance Department</w:t>
      </w:r>
    </w:p>
    <w:p w:rsidR="00715B3A" w:rsidRDefault="00715B3A" w:rsidP="00715B3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Ternopil Ivan Puluj National Technical University</w:t>
      </w:r>
    </w:p>
    <w:p w:rsidR="00715B3A" w:rsidRDefault="00715B3A" w:rsidP="00715B3A">
      <w:pPr>
        <w:pStyle w:val="Default"/>
        <w:jc w:val="right"/>
        <w:rPr>
          <w:lang w:val="uk-UA"/>
        </w:rPr>
      </w:pPr>
      <w:r w:rsidRPr="00852322">
        <w:t>Ternopil</w:t>
      </w:r>
      <w:r w:rsidRPr="00852322">
        <w:rPr>
          <w:lang w:val="uk-UA"/>
        </w:rPr>
        <w:t>,</w:t>
      </w:r>
      <w:r>
        <w:rPr>
          <w:lang w:val="uk-UA"/>
        </w:rPr>
        <w:t xml:space="preserve"> </w:t>
      </w:r>
      <w:r w:rsidRPr="00852322">
        <w:t>Ukraine</w:t>
      </w:r>
    </w:p>
    <w:p w:rsidR="00715B3A" w:rsidRPr="00715B3A" w:rsidRDefault="00505232" w:rsidP="00715B3A">
      <w:pPr>
        <w:pStyle w:val="Default"/>
        <w:jc w:val="center"/>
        <w:rPr>
          <w:b/>
          <w:lang w:val="uk-UA"/>
        </w:rPr>
      </w:pPr>
      <w:r>
        <w:rPr>
          <w:b/>
        </w:rPr>
        <w:t>INTERNATIONAL</w:t>
      </w:r>
      <w:r w:rsidR="00715B3A" w:rsidRPr="00715B3A">
        <w:rPr>
          <w:b/>
          <w:lang w:val="uk-UA"/>
        </w:rPr>
        <w:t xml:space="preserve"> EXPERIENCE ON GOVERNMENT REGULATION TO ENSURE </w:t>
      </w:r>
    </w:p>
    <w:p w:rsidR="00715B3A" w:rsidRDefault="00715B3A" w:rsidP="00715B3A">
      <w:pPr>
        <w:pStyle w:val="Default"/>
        <w:jc w:val="center"/>
        <w:rPr>
          <w:b/>
          <w:lang w:val="uk-UA"/>
        </w:rPr>
      </w:pPr>
      <w:r w:rsidRPr="00715B3A">
        <w:rPr>
          <w:b/>
          <w:lang w:val="uk-UA"/>
        </w:rPr>
        <w:t>FOOD SAFETY</w:t>
      </w:r>
    </w:p>
    <w:p w:rsidR="00B42D33" w:rsidRPr="0075620A" w:rsidRDefault="00B42D33" w:rsidP="00B81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</w:pPr>
      <w:r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Україна </w:t>
      </w:r>
      <w:r w:rsidR="00002938"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 світі </w:t>
      </w:r>
      <w:r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>позиціонується як гарант</w:t>
      </w:r>
      <w:r w:rsidR="00002938"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продовольчої безпеки </w:t>
      </w:r>
      <w:r w:rsidR="003D1ACF"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>завдяки традиційно вагомому експортному потенціалу</w:t>
      </w:r>
      <w:r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</w:t>
      </w:r>
      <w:r w:rsidR="00C52692"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>у 2021</w:t>
      </w:r>
      <w:r w:rsidR="00EC4E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році</w:t>
      </w:r>
      <w:r w:rsidR="00C52692"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>її внесок до світовог</w:t>
      </w:r>
      <w:r w:rsidR="00C5269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о продовольчого ринку </w:t>
      </w:r>
      <w:r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>був еквівалентним забезпеченню харчуванням близько 400 млн. осіб</w:t>
      </w:r>
      <w:r w:rsidR="00B12415"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75620A">
        <w:rPr>
          <w:rFonts w:ascii="Times New Roman" w:eastAsia="TimesNewRomanPSMT" w:hAnsi="Times New Roman" w:cs="Times New Roman"/>
          <w:sz w:val="24"/>
          <w:szCs w:val="24"/>
          <w:lang w:val="uk-UA"/>
        </w:rPr>
        <w:t>[1]</w:t>
      </w:r>
      <w:r w:rsidR="000D0AD8">
        <w:rPr>
          <w:rFonts w:ascii="Times New Roman" w:eastAsia="TimesNewRomanPSMT" w:hAnsi="Times New Roman" w:cs="Times New Roman"/>
          <w:sz w:val="24"/>
          <w:szCs w:val="24"/>
          <w:lang w:val="uk-UA"/>
        </w:rPr>
        <w:t>, продукція</w:t>
      </w:r>
      <w:r w:rsidR="006A62F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0D0AD8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постачалася </w:t>
      </w:r>
      <w:r w:rsidR="006A62F7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в понад 180 країн світу</w:t>
      </w:r>
      <w:r w:rsidR="00B12415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, </w:t>
      </w:r>
      <w:r w:rsidR="002D65D4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де </w:t>
      </w:r>
      <w:r w:rsidR="006A62F7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питома частка країн </w:t>
      </w:r>
      <w:r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ЄС </w:t>
      </w:r>
      <w:r w:rsidR="003A1305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становила </w:t>
      </w:r>
      <w:r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майже 30%.</w:t>
      </w:r>
      <w:r w:rsidRPr="0075620A">
        <w:rPr>
          <w:rFonts w:ascii="Times New Roman" w:eastAsia="TimesNewRomanPSMT" w:hAnsi="Times New Roman" w:cs="Times New Roman"/>
          <w:bCs/>
          <w:sz w:val="24"/>
          <w:szCs w:val="24"/>
        </w:rPr>
        <w:t> </w:t>
      </w:r>
      <w:r w:rsidR="008E7542" w:rsidRPr="0075620A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На думку Генерального секретаря ООН Антоніу Гутерріша, війна в Укр</w:t>
      </w:r>
      <w:r w:rsidR="005A7C95" w:rsidRPr="0075620A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аїні загрожує голодом </w:t>
      </w:r>
      <w:r w:rsidR="008E7542" w:rsidRPr="0075620A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для  20% населення </w:t>
      </w:r>
      <w:proofErr w:type="gramStart"/>
      <w:r w:rsidR="008E7542" w:rsidRPr="0075620A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св</w:t>
      </w:r>
      <w:proofErr w:type="gramEnd"/>
      <w:r w:rsidR="008E7542" w:rsidRPr="0075620A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іту. </w:t>
      </w:r>
      <w:r w:rsidR="00EC4E3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В </w:t>
      </w:r>
      <w:r w:rsidR="00EC4E30" w:rsidRPr="00EC2E2D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нашій</w:t>
      </w:r>
      <w:r w:rsidR="00EC4E3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EC4E30" w:rsidRPr="00EC2E2D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державі</w:t>
      </w:r>
      <w:r w:rsidR="00EC4E3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EC2E2D" w:rsidRPr="00EC2E2D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поява</w:t>
      </w:r>
      <w:r w:rsidR="00EC2E2D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EC2E2D" w:rsidRPr="00EC2E2D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такої</w:t>
      </w:r>
      <w:r w:rsidR="00EC2E2D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EC2E2D" w:rsidRPr="00EC2E2D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проблеми</w:t>
      </w:r>
      <w:r w:rsidR="00EC4E30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5828B6" w:rsidRPr="00EC2E2D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обумовлена</w:t>
      </w:r>
      <w:r w:rsidR="005828B6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5828B6" w:rsidRPr="00EC2E2D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падінням</w:t>
      </w:r>
      <w:r w:rsidR="005828B6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ВВП, </w:t>
      </w:r>
      <w:r w:rsidR="00CA5E47" w:rsidRPr="00CA5E47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скороченням</w:t>
      </w:r>
      <w:r w:rsidR="00CA5E4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CA5E47" w:rsidRPr="00CA5E47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пос</w:t>
      </w:r>
      <w:proofErr w:type="gramEnd"/>
      <w:r w:rsidR="00CA5E47" w:rsidRPr="00CA5E47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івних</w:t>
      </w:r>
      <w:r w:rsidR="00CA5E4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CA5E47" w:rsidRPr="00CA5E47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площ</w:t>
      </w:r>
      <w:r w:rsidR="00CA5E4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,</w:t>
      </w:r>
      <w:r w:rsidR="00FA5BA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порушенням логістичних зв’язків, </w:t>
      </w:r>
      <w:r w:rsidR="00CA5E47" w:rsidRPr="00CA5E47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пограбуванням</w:t>
      </w:r>
      <w:r w:rsidR="00CA5E4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CA5E47" w:rsidRPr="00CA5E47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загарбниками</w:t>
      </w:r>
      <w:r w:rsidR="00CA5E4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CA5E47" w:rsidRPr="00CA5E47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частини</w:t>
      </w:r>
      <w:r w:rsidR="006A62F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резервного фонду та с/г техніки.</w:t>
      </w:r>
      <w:r w:rsidR="003A1305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671204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Т</w:t>
      </w:r>
      <w:r w:rsidR="00B12415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ому </w:t>
      </w:r>
      <w:r w:rsidR="003A1305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актуалізуються</w:t>
      </w:r>
      <w:r w:rsidR="00B8129E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дослідження зарубіжного досвіду </w:t>
      </w:r>
      <w:r w:rsidR="00EC2E2D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в частині</w:t>
      </w:r>
      <w:r w:rsidR="002D65D4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B8129E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формування та реалізації стратегії продовольчої безпеки на рівні держави, </w:t>
      </w:r>
      <w:r w:rsidR="00666A88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яка</w:t>
      </w:r>
      <w:r w:rsidR="003D1ACF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має стати</w:t>
      </w:r>
      <w:r w:rsidR="00671204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стрижнем аграрно</w:t>
      </w:r>
      <w:r w:rsid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ї політики </w:t>
      </w:r>
      <w:r w:rsidR="005A7C95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України </w:t>
      </w:r>
      <w:r w:rsidR="00671204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для </w:t>
      </w:r>
      <w:r w:rsidR="00B33E5E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усунення</w:t>
      </w:r>
      <w:r w:rsidR="00B12415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серйозних загроз </w:t>
      </w:r>
      <w:r w:rsidR="00B33E5E" w:rsidRPr="0075620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глобальній продовольчій безпеці.</w:t>
      </w:r>
    </w:p>
    <w:p w:rsidR="00224544" w:rsidRPr="00D30962" w:rsidRDefault="000C0CED" w:rsidP="00224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Міжнародна</w:t>
      </w:r>
      <w:r w:rsidR="008B717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практика 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демонструє </w:t>
      </w:r>
      <w:r w:rsidR="007B05B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дієві</w:t>
      </w:r>
      <w:r w:rsidR="007B05B0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>лідерські позиції</w:t>
      </w:r>
      <w:r w:rsidR="008B717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державної політики </w:t>
      </w:r>
      <w:r w:rsidR="008F4A5D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у забезпеченні</w:t>
      </w:r>
      <w:r w:rsidR="008213C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8F4A5D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достатнього рівня продовольства</w:t>
      </w:r>
      <w:r w:rsidR="00BA660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  <w:r w:rsidR="00BB04D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CF2C5F" w:rsidRPr="00D30962">
        <w:rPr>
          <w:rFonts w:ascii="Times New Roman" w:hAnsi="Times New Roman" w:cs="Times New Roman"/>
          <w:bCs/>
          <w:sz w:val="24"/>
          <w:szCs w:val="24"/>
          <w:lang w:val="uk-UA"/>
        </w:rPr>
        <w:t>Успішність аграрн</w:t>
      </w:r>
      <w:r w:rsidR="008B7170" w:rsidRPr="00D309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ого підприємництва </w:t>
      </w:r>
      <w:r w:rsidR="00CF2C5F" w:rsidRPr="00D309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зумовлена комплексним підходом до його розвитку, що відображено у державних стратегіях і програмах. </w:t>
      </w:r>
      <w:r w:rsidR="00247157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Продовольча безпека кожної держави включає організаційно-правовий та економічний механізми, що передбачаю</w:t>
      </w:r>
      <w:r w:rsidR="0021142D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ть наявність арсеналу</w:t>
      </w:r>
      <w:r w:rsidR="00247157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методів і важелів впливу на суб'єкти господарювання. </w:t>
      </w:r>
    </w:p>
    <w:p w:rsidR="00222087" w:rsidRPr="00D30962" w:rsidRDefault="002165AB" w:rsidP="00224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</w:pP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Американська та Європейська практика </w:t>
      </w:r>
      <w:r w:rsidR="00247157" w:rsidRPr="00D30962">
        <w:rPr>
          <w:rFonts w:ascii="Times New Roman" w:hAnsi="Times New Roman" w:cs="Times New Roman"/>
          <w:sz w:val="24"/>
          <w:szCs w:val="24"/>
          <w:lang w:val="uk-UA"/>
        </w:rPr>
        <w:t>з метою підтримки доходності</w:t>
      </w:r>
      <w:r w:rsidR="00B817EE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виробників продовольчої 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>продукції  спирається, в першу чергу, на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817EE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продуктові програми. 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Їх основу </w:t>
      </w:r>
      <w:r w:rsidR="003D1ACF" w:rsidRPr="00D30962">
        <w:rPr>
          <w:rFonts w:ascii="Times New Roman" w:hAnsi="Times New Roman" w:cs="Times New Roman"/>
          <w:sz w:val="24"/>
          <w:szCs w:val="24"/>
          <w:lang w:val="uk-UA"/>
        </w:rPr>
        <w:t>станов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ить тріада потужних регуляторів: </w:t>
      </w:r>
    </w:p>
    <w:p w:rsidR="00222087" w:rsidRPr="00D30962" w:rsidRDefault="00B817EE" w:rsidP="002220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прямі 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>платежі (спрямовані на підвищення доходів незалежно від ринкової кон’юнктури);</w:t>
      </w:r>
    </w:p>
    <w:p w:rsidR="00222087" w:rsidRPr="00D30962" w:rsidRDefault="005A7C95" w:rsidP="002220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962">
        <w:rPr>
          <w:rFonts w:ascii="Times New Roman" w:hAnsi="Times New Roman" w:cs="Times New Roman"/>
          <w:sz w:val="24"/>
          <w:szCs w:val="24"/>
          <w:lang w:val="uk-UA"/>
        </w:rPr>
        <w:t>антициклічні платежі (</w:t>
      </w:r>
      <w:r w:rsidR="003D1ACF" w:rsidRPr="00D3096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1ACF" w:rsidRPr="00D30962">
        <w:rPr>
          <w:rFonts w:ascii="Times New Roman" w:hAnsi="Times New Roman" w:cs="Times New Roman"/>
          <w:sz w:val="24"/>
          <w:szCs w:val="24"/>
          <w:lang w:val="uk-UA"/>
        </w:rPr>
        <w:t>сезонний період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>, коли ринкові ціни складаються не на користь товаровиробників);</w:t>
      </w:r>
    </w:p>
    <w:p w:rsidR="00B817EE" w:rsidRPr="00D30962" w:rsidRDefault="003C5A3F" w:rsidP="002220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позики </w:t>
      </w:r>
      <w:r w:rsidR="00B817EE" w:rsidRPr="00D30962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>помоги (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>отри</w:t>
      </w:r>
      <w:r w:rsidR="003D1ACF" w:rsidRPr="00D30962">
        <w:rPr>
          <w:rFonts w:ascii="Times New Roman" w:hAnsi="Times New Roman" w:cs="Times New Roman"/>
          <w:sz w:val="24"/>
          <w:szCs w:val="24"/>
          <w:lang w:val="uk-UA"/>
        </w:rPr>
        <w:t>муються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1ACF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7EE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від уряду під фактичну або потенційну заставу виробленої продукції, </w:t>
      </w:r>
      <w:r w:rsidR="008E5B27" w:rsidRPr="00D30962">
        <w:rPr>
          <w:rFonts w:ascii="Times New Roman" w:hAnsi="Times New Roman" w:cs="Times New Roman"/>
          <w:sz w:val="24"/>
          <w:szCs w:val="24"/>
          <w:lang w:val="uk-UA"/>
        </w:rPr>
        <w:t>скерован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і на </w:t>
      </w:r>
      <w:r w:rsidR="00B817EE" w:rsidRPr="00D30962">
        <w:rPr>
          <w:rFonts w:ascii="Times New Roman" w:hAnsi="Times New Roman" w:cs="Times New Roman"/>
          <w:sz w:val="24"/>
          <w:szCs w:val="24"/>
          <w:lang w:val="uk-UA"/>
        </w:rPr>
        <w:t>зн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>иження</w:t>
      </w:r>
      <w:r w:rsidR="00B817EE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ризик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817EE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втрати доходу</w:t>
      </w:r>
      <w:r w:rsidR="00222087" w:rsidRPr="00D3096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52003" w:rsidRPr="00D30962" w:rsidRDefault="00F52003" w:rsidP="00387D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962">
        <w:rPr>
          <w:rFonts w:ascii="Times New Roman" w:hAnsi="Times New Roman" w:cs="Times New Roman"/>
          <w:sz w:val="24"/>
          <w:szCs w:val="24"/>
          <w:lang w:val="uk-UA"/>
        </w:rPr>
        <w:t>Кожна програма має певні законодавчі обмеження. Так у  США</w:t>
      </w:r>
      <w:r w:rsidR="003D1ACF" w:rsidRPr="00D309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надходження від прямих платежів  не можуть перевищувати 40 тис. дол. на рік, а межа щодо антициклічних платежів встановлена в розмірі 65 тис. дол. </w:t>
      </w:r>
      <w:r w:rsidR="00757EDA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2]. </w:t>
      </w:r>
      <w:r w:rsidR="00A63CA8" w:rsidRPr="00D30962">
        <w:rPr>
          <w:rFonts w:ascii="Times New Roman" w:hAnsi="Times New Roman" w:cs="Times New Roman"/>
          <w:sz w:val="24"/>
          <w:szCs w:val="24"/>
          <w:lang w:val="uk-UA"/>
        </w:rPr>
        <w:t>Загалом  на державному рівні діє понад 10 міжгалузевих цільових програм, серед яких</w:t>
      </w:r>
      <w:r w:rsidR="00870773" w:rsidRPr="00D3096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63CA8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0773" w:rsidRPr="00D30962">
        <w:rPr>
          <w:rFonts w:ascii="Times New Roman" w:hAnsi="Times New Roman" w:cs="Times New Roman"/>
          <w:sz w:val="24"/>
          <w:szCs w:val="24"/>
          <w:lang w:val="uk-UA"/>
        </w:rPr>
        <w:t>соціальний розвиток</w:t>
      </w:r>
      <w:r w:rsidR="00A63CA8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сільських територій</w:t>
      </w:r>
      <w:r w:rsidR="00870773" w:rsidRPr="00D309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3CA8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4C21" w:rsidRPr="00D30962">
        <w:rPr>
          <w:rFonts w:ascii="Times New Roman" w:hAnsi="Times New Roman" w:cs="Times New Roman"/>
          <w:sz w:val="24"/>
          <w:szCs w:val="24"/>
          <w:lang w:val="uk-UA"/>
        </w:rPr>
        <w:t>маркетинг</w:t>
      </w:r>
      <w:r w:rsidR="00870773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4C21" w:rsidRPr="00D30962">
        <w:rPr>
          <w:rFonts w:ascii="Times New Roman" w:hAnsi="Times New Roman" w:cs="Times New Roman"/>
          <w:sz w:val="24"/>
          <w:szCs w:val="24"/>
          <w:lang w:val="uk-UA"/>
        </w:rPr>
        <w:t>продовольча допомога</w:t>
      </w:r>
      <w:r w:rsidR="00870773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 населенню</w:t>
      </w:r>
      <w:r w:rsidR="00724C21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, при цьому 80 % таких коштів розподіляється через </w:t>
      </w:r>
      <w:r w:rsidR="00870773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CA8" w:rsidRPr="00D30962">
        <w:rPr>
          <w:rFonts w:ascii="Times New Roman" w:hAnsi="Times New Roman" w:cs="Times New Roman"/>
          <w:sz w:val="24"/>
          <w:szCs w:val="24"/>
          <w:lang w:val="uk-UA"/>
        </w:rPr>
        <w:t>Міністерство сільського господ</w:t>
      </w:r>
      <w:r w:rsidR="00724C21" w:rsidRPr="00D30962">
        <w:rPr>
          <w:rFonts w:ascii="Times New Roman" w:hAnsi="Times New Roman" w:cs="Times New Roman"/>
          <w:sz w:val="24"/>
          <w:szCs w:val="24"/>
          <w:lang w:val="uk-UA"/>
        </w:rPr>
        <w:t>арства,  решта – через</w:t>
      </w:r>
      <w:r w:rsidR="00A63CA8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 w:rsidR="00724C21" w:rsidRPr="00D30962">
        <w:rPr>
          <w:rFonts w:ascii="Times New Roman" w:hAnsi="Times New Roman" w:cs="Times New Roman"/>
          <w:sz w:val="24"/>
          <w:szCs w:val="24"/>
          <w:lang w:val="uk-UA"/>
        </w:rPr>
        <w:t>сцеві органи влади.</w:t>
      </w:r>
      <w:r w:rsidR="00A63CA8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42E6" w:rsidRPr="00D30962" w:rsidRDefault="00B817EE" w:rsidP="00C34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96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ЄС прямі платежі в дохід виробника прив’язані до </w:t>
      </w:r>
      <w:r w:rsidR="00C342E6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різноманітних 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>базових показників</w:t>
      </w:r>
      <w:r w:rsidR="008E5B27" w:rsidRPr="00D30962">
        <w:rPr>
          <w:rFonts w:ascii="Times New Roman" w:hAnsi="Times New Roman" w:cs="Times New Roman"/>
          <w:sz w:val="24"/>
          <w:szCs w:val="24"/>
          <w:lang w:val="uk-UA"/>
        </w:rPr>
        <w:t>, а саме:</w:t>
      </w:r>
      <w:r w:rsidR="00C342E6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посівних площ, 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>врожайності</w:t>
      </w:r>
      <w:r w:rsidR="00C342E6" w:rsidRPr="00D30962">
        <w:rPr>
          <w:rFonts w:ascii="Times New Roman" w:hAnsi="Times New Roman" w:cs="Times New Roman"/>
          <w:sz w:val="24"/>
          <w:szCs w:val="24"/>
          <w:lang w:val="uk-UA"/>
        </w:rPr>
        <w:t>, поголів’я тварин,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обсягів </w:t>
      </w:r>
      <w:r w:rsidR="008E5B27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виробництва. Учасники </w:t>
      </w:r>
      <w:r w:rsidR="00C342E6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програм </w:t>
      </w:r>
      <w:r w:rsidR="008346E6" w:rsidRPr="00D30962">
        <w:rPr>
          <w:rFonts w:ascii="Times New Roman" w:hAnsi="Times New Roman" w:cs="Times New Roman"/>
          <w:sz w:val="24"/>
          <w:szCs w:val="24"/>
          <w:lang w:val="uk-UA"/>
        </w:rPr>
        <w:t>дотримуються</w:t>
      </w:r>
      <w:r w:rsidR="00C342E6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норм та стандартів ведення господарства. Більш потужні виробники ( обсяг товарообігу понад 100 тис</w:t>
      </w:r>
      <w:r w:rsidR="009900F8" w:rsidRPr="00D3096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342E6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євро) зобов’язані співпрацювати з системою конс</w:t>
      </w:r>
      <w:r w:rsidR="000D0AD8" w:rsidRPr="00D30962">
        <w:rPr>
          <w:rFonts w:ascii="Times New Roman" w:hAnsi="Times New Roman" w:cs="Times New Roman"/>
          <w:sz w:val="24"/>
          <w:szCs w:val="24"/>
          <w:lang w:val="uk-UA"/>
        </w:rPr>
        <w:t>ультування</w:t>
      </w:r>
      <w:r w:rsidR="00C342E6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757EDA" w:rsidRPr="00D3096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42E6" w:rsidRPr="00D30962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2F3D94" w:rsidRPr="00D30962" w:rsidRDefault="00FE4E1D" w:rsidP="002F3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В Україні </w:t>
      </w:r>
      <w:r w:rsidR="005333E3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склалася парадоксальна ситуація – </w:t>
      </w:r>
      <w:r w:rsidR="002F3D94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продуктові </w:t>
      </w:r>
      <w:r w:rsidR="00F77241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програми діють </w:t>
      </w:r>
      <w:r w:rsidR="005333E3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2F3D94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секторах сільського господарства, що </w:t>
      </w:r>
      <w:r w:rsidR="00F77241" w:rsidRPr="00D30962">
        <w:rPr>
          <w:rFonts w:ascii="Times New Roman" w:hAnsi="Times New Roman" w:cs="Times New Roman"/>
          <w:sz w:val="24"/>
          <w:szCs w:val="24"/>
          <w:lang w:val="uk-UA"/>
        </w:rPr>
        <w:t>мають високу прибутковість  (</w:t>
      </w:r>
      <w:r w:rsidR="002F3D94" w:rsidRPr="00D30962">
        <w:rPr>
          <w:rFonts w:ascii="Times New Roman" w:hAnsi="Times New Roman" w:cs="Times New Roman"/>
          <w:sz w:val="24"/>
          <w:szCs w:val="24"/>
          <w:lang w:val="uk-UA"/>
        </w:rPr>
        <w:t>вирощування зернових культур</w:t>
      </w:r>
      <w:r w:rsidR="00C60B02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), що </w:t>
      </w:r>
      <w:r w:rsidR="002F3D94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призводить до </w:t>
      </w:r>
      <w:r w:rsidR="003C5A3F" w:rsidRPr="00D30962">
        <w:rPr>
          <w:rFonts w:ascii="Times New Roman" w:hAnsi="Times New Roman" w:cs="Times New Roman"/>
          <w:sz w:val="24"/>
          <w:szCs w:val="24"/>
          <w:lang w:val="uk-UA"/>
        </w:rPr>
        <w:t>ще більшої концентрації капіталу</w:t>
      </w:r>
      <w:r w:rsidR="00F77241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AD8" w:rsidRPr="00D30962">
        <w:rPr>
          <w:rFonts w:ascii="Times New Roman" w:hAnsi="Times New Roman" w:cs="Times New Roman"/>
          <w:sz w:val="24"/>
          <w:szCs w:val="24"/>
          <w:lang w:val="uk-UA"/>
        </w:rPr>
        <w:t>крупних виробників, які здійснюють</w:t>
      </w:r>
      <w:r w:rsidR="002F3D94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AD8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ефективну </w:t>
      </w:r>
      <w:r w:rsidR="002F3D94" w:rsidRPr="00D30962">
        <w:rPr>
          <w:rFonts w:ascii="Times New Roman" w:hAnsi="Times New Roman" w:cs="Times New Roman"/>
          <w:sz w:val="24"/>
          <w:szCs w:val="24"/>
          <w:lang w:val="uk-UA"/>
        </w:rPr>
        <w:t>лобістсь</w:t>
      </w:r>
      <w:r w:rsidR="000D0AD8" w:rsidRPr="00D30962">
        <w:rPr>
          <w:rFonts w:ascii="Times New Roman" w:hAnsi="Times New Roman" w:cs="Times New Roman"/>
          <w:sz w:val="24"/>
          <w:szCs w:val="24"/>
          <w:lang w:val="uk-UA"/>
        </w:rPr>
        <w:t>ку політику</w:t>
      </w:r>
      <w:r w:rsidR="002F3D94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в органах державної влади.</w:t>
      </w:r>
    </w:p>
    <w:p w:rsidR="008D377A" w:rsidRPr="00D30962" w:rsidRDefault="0073323D" w:rsidP="005A2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Систематизуємо </w:t>
      </w:r>
      <w:r w:rsidR="0014212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основні стратегічні</w:t>
      </w:r>
      <w:r w:rsidR="0003032B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параметри</w:t>
      </w:r>
      <w:r w:rsidR="0014212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DF018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деяких країн </w:t>
      </w:r>
      <w:r w:rsidR="007C233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світу </w:t>
      </w:r>
      <w:r w:rsidR="0014212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у сфері державного забезпечення продовольчої бе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зпеки</w:t>
      </w:r>
      <w:r w:rsidR="005A214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(табл.1)</w:t>
      </w:r>
    </w:p>
    <w:p w:rsidR="008D377A" w:rsidRPr="005A2149" w:rsidRDefault="005A2149" w:rsidP="00A37F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5A2149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Таблиця 1.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– </w:t>
      </w:r>
      <w:r w:rsidRPr="005A2149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 xml:space="preserve"> </w:t>
      </w:r>
      <w:r w:rsidR="00D878E4" w:rsidRPr="005A2149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І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нструменти державної підтри</w:t>
      </w:r>
      <w:r w:rsidR="00A37F7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м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ки  продовольчого забезпечення у</w:t>
      </w:r>
      <w:r w:rsidR="00A37F7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D878E4" w:rsidRPr="005A2149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країн</w:t>
      </w:r>
      <w:r w:rsidR="00A37F7A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ах </w:t>
      </w:r>
      <w:r w:rsidR="00030BCB" w:rsidRPr="005A2149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світу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3560"/>
      </w:tblGrid>
      <w:tr w:rsidR="008D377A" w:rsidRPr="005A2149" w:rsidTr="00296228">
        <w:tc>
          <w:tcPr>
            <w:tcW w:w="993" w:type="dxa"/>
          </w:tcPr>
          <w:p w:rsidR="008D377A" w:rsidRPr="008D377A" w:rsidRDefault="008D377A" w:rsidP="00BD02E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8D377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Країни</w:t>
            </w:r>
          </w:p>
        </w:tc>
        <w:tc>
          <w:tcPr>
            <w:tcW w:w="52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8"/>
            </w:tblGrid>
            <w:tr w:rsidR="008D377A" w:rsidRPr="005A2149" w:rsidTr="00296228">
              <w:trPr>
                <w:trHeight w:val="419"/>
              </w:trPr>
              <w:tc>
                <w:tcPr>
                  <w:tcW w:w="4218" w:type="dxa"/>
                </w:tcPr>
                <w:p w:rsidR="008D377A" w:rsidRPr="008D377A" w:rsidRDefault="008D377A" w:rsidP="0062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NewRomanPSMT" w:hAnsi="Times New Roman" w:cs="Times New Roman"/>
                      <w:sz w:val="24"/>
                      <w:szCs w:val="24"/>
                      <w:lang w:val="uk-UA"/>
                    </w:rPr>
                    <w:t>П</w:t>
                  </w:r>
                  <w:r w:rsidRPr="008D377A">
                    <w:rPr>
                      <w:rFonts w:ascii="Times New Roman" w:eastAsia="TimesNewRomanPSMT" w:hAnsi="Times New Roman" w:cs="Times New Roman"/>
                      <w:sz w:val="24"/>
                      <w:szCs w:val="24"/>
                      <w:lang w:val="uk-UA"/>
                    </w:rPr>
                    <w:t xml:space="preserve">ідтримка </w:t>
                  </w:r>
                  <w:r w:rsidR="00BD02EF">
                    <w:rPr>
                      <w:rFonts w:ascii="Times New Roman" w:eastAsia="TimesNewRomanPSMT" w:hAnsi="Times New Roman" w:cs="Times New Roman"/>
                      <w:sz w:val="24"/>
                      <w:szCs w:val="24"/>
                      <w:lang w:val="uk-UA"/>
                    </w:rPr>
                    <w:t>розвит</w:t>
                  </w:r>
                  <w:r w:rsidRPr="008D377A">
                    <w:rPr>
                      <w:rFonts w:ascii="Times New Roman" w:eastAsia="TimesNewRomanPSMT" w:hAnsi="Times New Roman" w:cs="Times New Roman"/>
                      <w:sz w:val="24"/>
                      <w:szCs w:val="24"/>
                      <w:lang w:val="uk-UA"/>
                    </w:rPr>
                    <w:t>ку аграрного сектору</w:t>
                  </w:r>
                </w:p>
              </w:tc>
            </w:tr>
          </w:tbl>
          <w:p w:rsidR="008D377A" w:rsidRPr="005A2149" w:rsidRDefault="008D377A" w:rsidP="00BB04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0" w:type="dxa"/>
          </w:tcPr>
          <w:p w:rsidR="008D377A" w:rsidRPr="008D377A" w:rsidRDefault="008D377A" w:rsidP="00625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</w:pPr>
            <w:r w:rsidRPr="005A2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Регулювання забезпечення якості продукції</w:t>
            </w:r>
          </w:p>
        </w:tc>
      </w:tr>
      <w:tr w:rsidR="008D377A" w:rsidRPr="002E3BC2" w:rsidTr="00296228">
        <w:tc>
          <w:tcPr>
            <w:tcW w:w="993" w:type="dxa"/>
          </w:tcPr>
          <w:p w:rsidR="008D377A" w:rsidRPr="008D377A" w:rsidRDefault="008D377A" w:rsidP="00E744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8D377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Японія</w:t>
            </w:r>
          </w:p>
        </w:tc>
        <w:tc>
          <w:tcPr>
            <w:tcW w:w="5244" w:type="dxa"/>
          </w:tcPr>
          <w:p w:rsidR="008D377A" w:rsidRPr="00E744FA" w:rsidRDefault="008D377A" w:rsidP="008D377A">
            <w:pPr>
              <w:pStyle w:val="Pa5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E744FA">
              <w:rPr>
                <w:color w:val="000000"/>
                <w:lang w:val="uk-UA"/>
              </w:rPr>
              <w:t>1.</w:t>
            </w:r>
            <w:r w:rsidR="00E744FA">
              <w:rPr>
                <w:color w:val="000000"/>
                <w:lang w:val="uk-UA"/>
              </w:rPr>
              <w:t xml:space="preserve"> </w:t>
            </w:r>
            <w:r w:rsidRPr="00E744FA">
              <w:rPr>
                <w:color w:val="000000"/>
                <w:lang w:val="uk-UA"/>
              </w:rPr>
              <w:t>Структурні програми розвитку АПК</w:t>
            </w:r>
            <w:r w:rsidR="009900F8">
              <w:rPr>
                <w:color w:val="000000"/>
                <w:lang w:val="uk-UA"/>
              </w:rPr>
              <w:t>.</w:t>
            </w:r>
            <w:r w:rsidRPr="00E744FA">
              <w:rPr>
                <w:rFonts w:eastAsia="TimesNewRomanPSMT"/>
                <w:sz w:val="28"/>
                <w:szCs w:val="28"/>
                <w:lang w:val="uk-UA"/>
              </w:rPr>
              <w:t xml:space="preserve"> </w:t>
            </w:r>
          </w:p>
          <w:p w:rsidR="008D377A" w:rsidRPr="00E744FA" w:rsidRDefault="008D377A" w:rsidP="008D37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44FA">
              <w:rPr>
                <w:rFonts w:ascii="Times New Roman" w:hAnsi="Times New Roman" w:cs="Times New Roman"/>
                <w:lang w:val="uk-UA"/>
              </w:rPr>
              <w:t>2.</w:t>
            </w:r>
            <w:r w:rsidR="00E744F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744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Програма  надання субсидій виробникам. </w:t>
            </w:r>
          </w:p>
          <w:p w:rsidR="008D377A" w:rsidRPr="00E744FA" w:rsidRDefault="009900F8" w:rsidP="008D377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="008D377A" w:rsidRPr="00E744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фінанс</w:t>
            </w:r>
            <w:r w:rsidR="00BD02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ування проектів із використанням</w:t>
            </w:r>
            <w:r w:rsidR="008D377A" w:rsidRPr="00E744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новітніх технологій у тваринництво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8D377A" w:rsidRPr="00E744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D377A" w:rsidRPr="00E744FA" w:rsidRDefault="008D377A" w:rsidP="00BD02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E744FA" w:rsidRPr="00E744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744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аходи</w:t>
            </w:r>
            <w:r w:rsidR="00E744FA" w:rsidRPr="00E744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скеровані на  інтенсифікацію </w:t>
            </w:r>
            <w:r w:rsidRPr="00E744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виробництва і підви</w:t>
            </w:r>
            <w:r w:rsidR="00E744FA" w:rsidRPr="00E744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щення  КС продукції</w:t>
            </w:r>
            <w:r w:rsidR="00990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560" w:type="dxa"/>
          </w:tcPr>
          <w:p w:rsidR="00E744FA" w:rsidRPr="00E744FA" w:rsidRDefault="00CF516A" w:rsidP="00E744FA">
            <w:pPr>
              <w:pStyle w:val="Pa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  <w:r w:rsidR="00E744FA" w:rsidRPr="00E744FA">
              <w:rPr>
                <w:color w:val="000000"/>
                <w:lang w:val="ru-RU"/>
              </w:rPr>
              <w:t>Законодавче регулювання застосування комплексу заходів із безпеки і контролю якості продукції</w:t>
            </w:r>
            <w:r w:rsidR="009900F8">
              <w:rPr>
                <w:color w:val="000000"/>
                <w:lang w:val="ru-RU"/>
              </w:rPr>
              <w:t>.</w:t>
            </w:r>
            <w:r w:rsidR="00E744FA" w:rsidRPr="00E744FA">
              <w:rPr>
                <w:color w:val="000000"/>
                <w:lang w:val="ru-RU"/>
              </w:rPr>
              <w:t xml:space="preserve"> </w:t>
            </w:r>
          </w:p>
          <w:p w:rsidR="008D377A" w:rsidRPr="00E744FA" w:rsidRDefault="008D377A" w:rsidP="00BB04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377A" w:rsidRPr="002E3BC2" w:rsidTr="00296228">
        <w:tc>
          <w:tcPr>
            <w:tcW w:w="993" w:type="dxa"/>
          </w:tcPr>
          <w:p w:rsidR="00E744FA" w:rsidRPr="0003032B" w:rsidRDefault="0003032B" w:rsidP="00E744FA">
            <w:pPr>
              <w:pStyle w:val="Pa11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Країни ЄС</w:t>
            </w:r>
          </w:p>
          <w:p w:rsidR="008D377A" w:rsidRDefault="008D377A" w:rsidP="00E744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BD02EF" w:rsidRDefault="00E744FA" w:rsidP="0003032B">
            <w:pPr>
              <w:pStyle w:val="Pa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  <w:r w:rsidR="00BD02EF">
              <w:rPr>
                <w:color w:val="000000"/>
                <w:lang w:val="uk-UA"/>
              </w:rPr>
              <w:t xml:space="preserve"> </w:t>
            </w:r>
            <w:r w:rsidR="0003032B">
              <w:rPr>
                <w:color w:val="000000"/>
                <w:lang w:val="uk-UA"/>
              </w:rPr>
              <w:t>Н</w:t>
            </w:r>
            <w:r w:rsidR="0003032B" w:rsidRPr="0003032B">
              <w:rPr>
                <w:color w:val="000000"/>
                <w:lang w:val="uk-UA"/>
              </w:rPr>
              <w:t>аявність с</w:t>
            </w:r>
            <w:r w:rsidR="0003032B">
              <w:rPr>
                <w:color w:val="000000"/>
                <w:lang w:val="uk-UA"/>
              </w:rPr>
              <w:t xml:space="preserve">ередньострокової (на 5-7 років) </w:t>
            </w:r>
            <w:r w:rsidR="0003032B" w:rsidRPr="0003032B">
              <w:rPr>
                <w:color w:val="000000"/>
                <w:lang w:val="uk-UA"/>
              </w:rPr>
              <w:t>стратегії розвитку сільського господарства</w:t>
            </w:r>
            <w:r w:rsidR="005710BC">
              <w:rPr>
                <w:color w:val="000000"/>
                <w:lang w:val="uk-UA"/>
              </w:rPr>
              <w:t>.</w:t>
            </w:r>
          </w:p>
          <w:p w:rsidR="00686900" w:rsidRDefault="00E744FA" w:rsidP="00686900">
            <w:pPr>
              <w:pStyle w:val="Pa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  <w:r w:rsidR="00BD02EF">
              <w:rPr>
                <w:color w:val="000000"/>
                <w:lang w:val="uk-UA"/>
              </w:rPr>
              <w:t xml:space="preserve"> </w:t>
            </w:r>
            <w:r w:rsidR="00686900">
              <w:rPr>
                <w:color w:val="000000"/>
                <w:lang w:val="uk-UA"/>
              </w:rPr>
              <w:t>Стимулювання зниження</w:t>
            </w:r>
            <w:r w:rsidR="00686900" w:rsidRPr="00686900">
              <w:rPr>
                <w:color w:val="000000"/>
                <w:lang w:val="uk-UA"/>
              </w:rPr>
              <w:t xml:space="preserve"> витрат на виробництво</w:t>
            </w:r>
            <w:r w:rsidR="00653D3D">
              <w:rPr>
                <w:color w:val="000000"/>
                <w:lang w:val="uk-UA"/>
              </w:rPr>
              <w:t xml:space="preserve"> (за основу беруться базові показники</w:t>
            </w:r>
            <w:r w:rsidR="009900F8">
              <w:rPr>
                <w:color w:val="000000"/>
                <w:lang w:val="uk-UA"/>
              </w:rPr>
              <w:t>)</w:t>
            </w:r>
            <w:r w:rsidR="005710BC">
              <w:rPr>
                <w:color w:val="000000"/>
                <w:lang w:val="uk-UA"/>
              </w:rPr>
              <w:t>.</w:t>
            </w:r>
          </w:p>
          <w:p w:rsidR="00E744FA" w:rsidRPr="00686900" w:rsidRDefault="00E744FA" w:rsidP="00686900">
            <w:pPr>
              <w:pStyle w:val="Pa5"/>
              <w:jc w:val="both"/>
              <w:rPr>
                <w:color w:val="000000"/>
                <w:lang w:val="uk-UA"/>
              </w:rPr>
            </w:pPr>
            <w:r w:rsidRPr="00686900">
              <w:rPr>
                <w:rFonts w:eastAsia="TimesNewRomanPSMT"/>
                <w:lang w:val="uk-UA"/>
              </w:rPr>
              <w:t>3</w:t>
            </w:r>
            <w:r>
              <w:rPr>
                <w:rFonts w:eastAsia="TimesNewRomanPSMT"/>
                <w:lang w:val="uk-UA"/>
              </w:rPr>
              <w:t>.</w:t>
            </w:r>
            <w:r w:rsidR="005141CA">
              <w:rPr>
                <w:rFonts w:eastAsia="TimesNewRomanPSMT"/>
                <w:lang w:val="uk-UA"/>
              </w:rPr>
              <w:t xml:space="preserve"> </w:t>
            </w:r>
            <w:r w:rsidRPr="00BD02EF">
              <w:rPr>
                <w:color w:val="000000"/>
                <w:lang w:val="uk-UA"/>
              </w:rPr>
              <w:t>Страхування доходів фермерів та компенсац</w:t>
            </w:r>
            <w:r w:rsidR="009900F8">
              <w:rPr>
                <w:color w:val="000000"/>
                <w:lang w:val="uk-UA"/>
              </w:rPr>
              <w:t>ія державою страхових платежів</w:t>
            </w:r>
            <w:r w:rsidR="005710BC">
              <w:rPr>
                <w:color w:val="000000"/>
                <w:lang w:val="uk-UA"/>
              </w:rPr>
              <w:t>.</w:t>
            </w:r>
          </w:p>
          <w:p w:rsidR="008D377A" w:rsidRPr="00BD02EF" w:rsidRDefault="00E744FA" w:rsidP="002962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BD02E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4.</w:t>
            </w:r>
            <w:r w:rsidR="00BD02EF" w:rsidRPr="00BD02E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6228" w:rsidRPr="00296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Субсидіювання та пільгове оподаткування: на придбання добрив, кормів</w:t>
            </w:r>
          </w:p>
        </w:tc>
        <w:tc>
          <w:tcPr>
            <w:tcW w:w="3560" w:type="dxa"/>
          </w:tcPr>
          <w:p w:rsidR="005141CA" w:rsidRPr="00BD02EF" w:rsidRDefault="005141CA" w:rsidP="00956A19">
            <w:pPr>
              <w:pStyle w:val="Pa5"/>
              <w:spacing w:line="240" w:lineRule="auto"/>
              <w:jc w:val="both"/>
              <w:rPr>
                <w:color w:val="000000"/>
                <w:lang w:val="uk-UA"/>
              </w:rPr>
            </w:pPr>
            <w:r w:rsidRPr="00BD02EF">
              <w:rPr>
                <w:color w:val="000000"/>
                <w:lang w:val="uk-UA"/>
              </w:rPr>
              <w:t>1.</w:t>
            </w:r>
            <w:r w:rsidR="00E744FA" w:rsidRPr="00BD02EF">
              <w:rPr>
                <w:color w:val="000000"/>
                <w:lang w:val="uk-UA"/>
              </w:rPr>
              <w:t xml:space="preserve">Система державних </w:t>
            </w:r>
            <w:r w:rsidR="00E744FA" w:rsidRPr="005141CA">
              <w:rPr>
                <w:color w:val="000000"/>
                <w:lang w:val="uk-UA"/>
              </w:rPr>
              <w:t>стандартів</w:t>
            </w:r>
            <w:r w:rsidR="00E744FA" w:rsidRPr="00BD02EF">
              <w:rPr>
                <w:color w:val="000000"/>
                <w:lang w:val="uk-UA"/>
              </w:rPr>
              <w:t xml:space="preserve"> якості і безпеки продукції</w:t>
            </w:r>
            <w:r w:rsidR="005710BC">
              <w:rPr>
                <w:color w:val="000000"/>
                <w:lang w:val="uk-UA"/>
              </w:rPr>
              <w:t>.</w:t>
            </w:r>
          </w:p>
          <w:p w:rsidR="00E744FA" w:rsidRPr="009900F8" w:rsidRDefault="005141CA" w:rsidP="00956A19">
            <w:pPr>
              <w:pStyle w:val="Pa5"/>
              <w:spacing w:line="240" w:lineRule="auto"/>
              <w:jc w:val="both"/>
              <w:rPr>
                <w:color w:val="000000"/>
                <w:lang w:val="uk-UA"/>
              </w:rPr>
            </w:pPr>
            <w:r w:rsidRPr="00BD02EF">
              <w:rPr>
                <w:color w:val="000000"/>
                <w:lang w:val="uk-UA"/>
              </w:rPr>
              <w:t>2.</w:t>
            </w:r>
            <w:r>
              <w:rPr>
                <w:color w:val="000000"/>
                <w:lang w:val="uk-UA"/>
              </w:rPr>
              <w:t>М</w:t>
            </w:r>
            <w:r w:rsidR="00E744FA" w:rsidRPr="00E744FA">
              <w:rPr>
                <w:color w:val="000000"/>
                <w:lang w:val="uk-UA"/>
              </w:rPr>
              <w:t>оніторинг</w:t>
            </w:r>
            <w:r w:rsidR="00E744FA" w:rsidRPr="00BD02EF">
              <w:rPr>
                <w:color w:val="000000"/>
                <w:lang w:val="uk-UA"/>
              </w:rPr>
              <w:t xml:space="preserve"> і к</w:t>
            </w:r>
            <w:r w:rsidR="009900F8" w:rsidRPr="009900F8">
              <w:rPr>
                <w:color w:val="000000"/>
                <w:lang w:val="uk-UA"/>
              </w:rPr>
              <w:t>онтроль.</w:t>
            </w:r>
            <w:r w:rsidR="00E744FA" w:rsidRPr="009900F8">
              <w:rPr>
                <w:color w:val="000000"/>
                <w:lang w:val="uk-UA"/>
              </w:rPr>
              <w:t xml:space="preserve"> </w:t>
            </w:r>
          </w:p>
          <w:p w:rsidR="008D377A" w:rsidRPr="009900F8" w:rsidRDefault="00686900" w:rsidP="00956A1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9900F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3.Обмеження заходів щодо виготовлення нездорових продуктів харчування (</w:t>
            </w:r>
            <w:r w:rsidR="00763FCE" w:rsidRPr="009900F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посилення екологічної </w:t>
            </w:r>
            <w:r w:rsidRPr="009900F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спрямованості)</w:t>
            </w:r>
            <w:r w:rsidR="005710BC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D377A" w:rsidRPr="002E3BC2" w:rsidTr="00296228">
        <w:trPr>
          <w:trHeight w:val="2272"/>
        </w:trPr>
        <w:tc>
          <w:tcPr>
            <w:tcW w:w="993" w:type="dxa"/>
          </w:tcPr>
          <w:p w:rsidR="008D377A" w:rsidRPr="005141CA" w:rsidRDefault="005141CA" w:rsidP="00257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141C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5244" w:type="dxa"/>
          </w:tcPr>
          <w:p w:rsidR="002578F5" w:rsidRPr="009900F8" w:rsidRDefault="005141CA" w:rsidP="002578F5">
            <w:pPr>
              <w:pStyle w:val="Pa5"/>
              <w:jc w:val="both"/>
              <w:rPr>
                <w:color w:val="000000"/>
                <w:lang w:val="uk-UA"/>
              </w:rPr>
            </w:pPr>
            <w:r w:rsidRPr="009900F8">
              <w:rPr>
                <w:color w:val="000000"/>
                <w:lang w:val="uk-UA"/>
              </w:rPr>
              <w:t>1.</w:t>
            </w:r>
            <w:r w:rsidR="00BD02EF" w:rsidRPr="009900F8">
              <w:rPr>
                <w:color w:val="000000"/>
                <w:lang w:val="uk-UA"/>
              </w:rPr>
              <w:t xml:space="preserve"> </w:t>
            </w:r>
            <w:r w:rsidRPr="009900F8">
              <w:rPr>
                <w:color w:val="000000"/>
                <w:lang w:val="uk-UA"/>
              </w:rPr>
              <w:t>Субсидування урядових програм підтримки розвитку окремих галузей аграрного сектора</w:t>
            </w:r>
            <w:r w:rsidR="009900F8" w:rsidRPr="009900F8">
              <w:rPr>
                <w:color w:val="000000"/>
                <w:lang w:val="uk-UA"/>
              </w:rPr>
              <w:t>.</w:t>
            </w:r>
          </w:p>
          <w:p w:rsidR="002578F5" w:rsidRPr="00FA5BA7" w:rsidRDefault="002578F5" w:rsidP="002578F5">
            <w:pPr>
              <w:pStyle w:val="Pa5"/>
              <w:jc w:val="both"/>
              <w:rPr>
                <w:color w:val="000000"/>
                <w:lang w:val="uk-UA"/>
              </w:rPr>
            </w:pPr>
            <w:r w:rsidRPr="009900F8">
              <w:rPr>
                <w:color w:val="000000"/>
                <w:lang w:val="uk-UA"/>
              </w:rPr>
              <w:t>2.</w:t>
            </w:r>
            <w:r w:rsidR="005141CA" w:rsidRPr="009900F8">
              <w:rPr>
                <w:color w:val="000000"/>
                <w:lang w:val="uk-UA"/>
              </w:rPr>
              <w:t xml:space="preserve"> </w:t>
            </w:r>
            <w:r w:rsidRPr="009900F8">
              <w:rPr>
                <w:color w:val="000000"/>
                <w:lang w:val="uk-UA"/>
              </w:rPr>
              <w:t>Кредитування виробників під заст</w:t>
            </w:r>
            <w:r w:rsidRPr="00FA5BA7">
              <w:rPr>
                <w:color w:val="000000"/>
                <w:lang w:val="uk-UA"/>
              </w:rPr>
              <w:t>аву аграрної продукції шляхом надання компенсаційних виплат.</w:t>
            </w:r>
          </w:p>
          <w:p w:rsidR="008D377A" w:rsidRPr="00FA5BA7" w:rsidRDefault="002578F5" w:rsidP="00257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FA5BA7">
              <w:rPr>
                <w:lang w:val="uk-UA"/>
              </w:rPr>
              <w:t xml:space="preserve"> </w:t>
            </w:r>
            <w:r w:rsidRPr="00FA5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Стимулювання експорту шляхом надання експортної компенсаційної надбавки фермерам.</w:t>
            </w:r>
          </w:p>
        </w:tc>
        <w:tc>
          <w:tcPr>
            <w:tcW w:w="35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44"/>
            </w:tblGrid>
            <w:tr w:rsidR="005141CA" w:rsidRPr="002E3BC2" w:rsidTr="00296228">
              <w:trPr>
                <w:trHeight w:val="1118"/>
              </w:trPr>
              <w:tc>
                <w:tcPr>
                  <w:tcW w:w="3344" w:type="dxa"/>
                </w:tcPr>
                <w:p w:rsidR="005141CA" w:rsidRPr="005141CA" w:rsidRDefault="005141CA" w:rsidP="005141CA">
                  <w:pPr>
                    <w:pStyle w:val="Pa5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1.</w:t>
                  </w:r>
                  <w:r w:rsidRPr="005141CA">
                    <w:rPr>
                      <w:color w:val="000000"/>
                      <w:lang w:val="ru-RU"/>
                    </w:rPr>
                    <w:t>Контроль імпо</w:t>
                  </w:r>
                  <w:r w:rsidR="00BD02EF">
                    <w:rPr>
                      <w:color w:val="000000"/>
                      <w:lang w:val="ru-RU"/>
                    </w:rPr>
                    <w:t>ртованих продуктів харчування.</w:t>
                  </w:r>
                </w:p>
                <w:p w:rsidR="005141CA" w:rsidRDefault="005141CA" w:rsidP="005141CA">
                  <w:pPr>
                    <w:pStyle w:val="Pa5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2.Ф</w:t>
                  </w:r>
                  <w:r w:rsidRPr="005141CA">
                    <w:rPr>
                      <w:color w:val="000000"/>
                      <w:lang w:val="ru-RU"/>
                    </w:rPr>
                    <w:t>інансування лабораторій, державних програм у сфері безпеки харчових продуктів</w:t>
                  </w:r>
                  <w:r>
                    <w:rPr>
                      <w:color w:val="000000"/>
                      <w:lang w:val="ru-RU"/>
                    </w:rPr>
                    <w:t>.</w:t>
                  </w:r>
                  <w:r w:rsidRPr="005141CA">
                    <w:rPr>
                      <w:color w:val="000000"/>
                      <w:lang w:val="ru-RU"/>
                    </w:rPr>
                    <w:t xml:space="preserve"> </w:t>
                  </w:r>
                </w:p>
                <w:p w:rsidR="005141CA" w:rsidRPr="005141CA" w:rsidRDefault="005141CA" w:rsidP="005141CA">
                  <w:pPr>
                    <w:pStyle w:val="Pa5"/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3.</w:t>
                  </w:r>
                  <w:r w:rsidR="00BD02EF">
                    <w:rPr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lang w:val="ru-RU"/>
                    </w:rPr>
                    <w:t>П</w:t>
                  </w:r>
                  <w:r w:rsidRPr="005141CA">
                    <w:rPr>
                      <w:color w:val="000000"/>
                      <w:lang w:val="ru-RU"/>
                    </w:rPr>
                    <w:t xml:space="preserve">ідготовка кадрів для </w:t>
                  </w:r>
                  <w:r w:rsidR="00BD02EF">
                    <w:rPr>
                      <w:color w:val="000000"/>
                      <w:lang w:val="ru-RU"/>
                    </w:rPr>
                    <w:t>контролю якості продовольства.</w:t>
                  </w:r>
                </w:p>
              </w:tc>
            </w:tr>
          </w:tbl>
          <w:p w:rsidR="008D377A" w:rsidRPr="005141CA" w:rsidRDefault="008D377A" w:rsidP="00BB04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165AB" w:rsidRPr="00CA5E47" w:rsidRDefault="002578F5" w:rsidP="006A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</w:pPr>
      <w:r w:rsidRPr="00CA5E47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>Джерело: сист</w:t>
      </w:r>
      <w:r w:rsidR="00063F39" w:rsidRPr="00CA5E47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>ема</w:t>
      </w:r>
      <w:r w:rsidR="00757EDA" w:rsidRPr="00CA5E47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>т</w:t>
      </w:r>
      <w:r w:rsidR="00366111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 xml:space="preserve">изовано автором </w:t>
      </w:r>
      <w:proofErr w:type="gramStart"/>
      <w:r w:rsidR="00366111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>на</w:t>
      </w:r>
      <w:proofErr w:type="gramEnd"/>
      <w:r w:rsidR="00366111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 xml:space="preserve"> основі [4; 5</w:t>
      </w:r>
      <w:r w:rsidRPr="00CA5E47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>]</w:t>
      </w:r>
    </w:p>
    <w:p w:rsidR="004E022D" w:rsidRPr="00D30962" w:rsidRDefault="0054169E" w:rsidP="00D309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D30962">
        <w:rPr>
          <w:rFonts w:ascii="Times New Roman" w:hAnsi="Times New Roman" w:cs="Times New Roman"/>
          <w:bCs/>
          <w:sz w:val="24"/>
          <w:szCs w:val="24"/>
          <w:lang w:val="uk-UA"/>
        </w:rPr>
        <w:t>За результатами</w:t>
      </w:r>
      <w:r w:rsidR="002165AB" w:rsidRPr="00D309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таблиці можна зробити висновок, що розвинуті країни </w:t>
      </w:r>
      <w:r w:rsidR="002165AB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DF018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мають </w:t>
      </w:r>
      <w:r w:rsidR="004E3833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цілеспрямовану </w:t>
      </w:r>
      <w:r w:rsidR="00DF018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високоефективну стратегію </w:t>
      </w:r>
      <w:r w:rsidR="008E5B27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для </w:t>
      </w:r>
      <w:r w:rsidR="00C0141C" w:rsidRPr="00D30962">
        <w:rPr>
          <w:rFonts w:ascii="Times New Roman" w:hAnsi="Times New Roman" w:cs="Times New Roman"/>
          <w:bCs/>
          <w:sz w:val="24"/>
          <w:szCs w:val="24"/>
          <w:lang w:val="uk-UA"/>
        </w:rPr>
        <w:t>успішн</w:t>
      </w:r>
      <w:r w:rsidR="007C2335" w:rsidRPr="00D30962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C0141C" w:rsidRPr="00D309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розвитку аграрного підприємництва </w:t>
      </w:r>
      <w:r w:rsidR="00DF018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та відпов</w:t>
      </w:r>
      <w:r w:rsidR="008238AE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ідний комплекс державних регуляторів та </w:t>
      </w:r>
      <w:r w:rsidR="00DF018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інструментів щодо гарантування</w:t>
      </w:r>
      <w:r w:rsidR="00C0141C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продовольчої безпеки.</w:t>
      </w:r>
      <w:r w:rsidR="00724C2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296228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 руслі агропродовольчої політики </w:t>
      </w:r>
      <w:proofErr w:type="gramStart"/>
      <w:r w:rsidR="004E022D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пр</w:t>
      </w:r>
      <w:proofErr w:type="gramEnd"/>
      <w:r w:rsidR="004E022D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іоритетними</w:t>
      </w:r>
      <w:r w:rsidR="004E022D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4B4874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принципами</w:t>
      </w:r>
      <w:r w:rsidR="004E022D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є:</w:t>
      </w:r>
      <w:r w:rsidR="00296228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</w:p>
    <w:p w:rsidR="00DF0186" w:rsidRPr="00D30962" w:rsidRDefault="00AA4A70" w:rsidP="00AA4A70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система гарантій якості та безпечності</w:t>
      </w:r>
      <w:r w:rsidR="00296228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продовольства. </w:t>
      </w:r>
      <w:r w:rsidR="00724C21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У США законом передбачено здійснення жорсткого  нагляду за продуктами хар</w:t>
      </w:r>
      <w:r w:rsidR="008E5B27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чування, що  </w:t>
      </w:r>
      <w:r w:rsidR="008E5B27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імпортуються</w:t>
      </w:r>
      <w:r w:rsidR="008E5B27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(15% продуктів харчування</w:t>
      </w:r>
      <w:r w:rsidR="00757EDA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). [6</w:t>
      </w:r>
      <w:r w:rsidR="00724C21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]</w:t>
      </w:r>
      <w:r w:rsidR="00BD6470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. В Європейських країнах </w:t>
      </w:r>
      <w:r w:rsidR="00296228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на </w:t>
      </w:r>
      <w:r w:rsidR="00296228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 xml:space="preserve">законодавчому </w:t>
      </w:r>
      <w:proofErr w:type="gramStart"/>
      <w:r w:rsidR="00296228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р</w:t>
      </w:r>
      <w:proofErr w:type="gramEnd"/>
      <w:r w:rsidR="00296228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івні </w:t>
      </w:r>
      <w:r w:rsidR="000C3DF5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розроблені </w:t>
      </w:r>
      <w:r w:rsidR="000C3DF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скоординовані  </w:t>
      </w:r>
      <w:r w:rsidR="00296228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заходи безпеки харчових продуктів на всіх етапах виробництва, переробки і транспортування</w:t>
      </w:r>
      <w:r w:rsidR="000C3DF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</w:p>
    <w:p w:rsidR="007E5A17" w:rsidRPr="00D30962" w:rsidRDefault="004E022D" w:rsidP="00757A45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розвиток сільських територій, її інфраструктури</w:t>
      </w:r>
      <w:r w:rsidR="00757A4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</w:t>
      </w:r>
      <w:r w:rsidR="00F10CB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що сприяє</w:t>
      </w:r>
      <w:r w:rsidR="00F10CB5" w:rsidRPr="00D30962">
        <w:rPr>
          <w:sz w:val="24"/>
          <w:szCs w:val="24"/>
          <w:lang w:val="uk-UA"/>
        </w:rPr>
        <w:t xml:space="preserve"> </w:t>
      </w:r>
      <w:r w:rsidR="00F10CB5" w:rsidRPr="00D30962">
        <w:rPr>
          <w:rFonts w:ascii="Times New Roman" w:hAnsi="Times New Roman" w:cs="Times New Roman"/>
          <w:sz w:val="24"/>
          <w:szCs w:val="24"/>
          <w:lang w:val="uk-UA"/>
        </w:rPr>
        <w:t>підвищенню престижності</w:t>
      </w:r>
      <w:r w:rsidR="00F10CB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праці аграріїв та проживання в сільській місцевості</w:t>
      </w:r>
      <w:r w:rsidR="00757A4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,</w:t>
      </w:r>
      <w:r w:rsidR="00757A45" w:rsidRPr="00D30962">
        <w:rPr>
          <w:sz w:val="24"/>
          <w:szCs w:val="24"/>
          <w:lang w:val="uk-UA"/>
        </w:rPr>
        <w:t xml:space="preserve"> </w:t>
      </w:r>
      <w:r w:rsidR="00757A4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посиленню диверсифікації сільської економіки;</w:t>
      </w:r>
    </w:p>
    <w:p w:rsidR="004E022D" w:rsidRPr="00D30962" w:rsidRDefault="004E022D" w:rsidP="00F10CB5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гармонізація екосистем внаслідок негативних наслідків зміни  клімату.</w:t>
      </w:r>
    </w:p>
    <w:p w:rsidR="004676B9" w:rsidRPr="00D30962" w:rsidRDefault="00724C21" w:rsidP="005959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Цікавим є досвід Японії, яка </w:t>
      </w:r>
      <w:r w:rsidR="00AC0353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приділяє велику увагу регулюванню співвідношення рівня самозабезпеченості та імпорту, при цьому частка сільського господарства становить лише </w:t>
      </w:r>
      <w:r w:rsidR="00B547E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2% ВВП</w:t>
      </w:r>
      <w:r w:rsidR="008037C8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, проте</w:t>
      </w:r>
      <w:r w:rsidR="00AC0353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B547E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забезпечує близько 40% потреб</w:t>
      </w:r>
      <w:r w:rsidR="00757EDA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населення у продовольстві.</w:t>
      </w:r>
      <w:r w:rsidR="000F391C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4676B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Аналогічна ситуація </w:t>
      </w:r>
      <w:r w:rsidR="00D1294C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склалася </w:t>
      </w:r>
      <w:r w:rsidR="004676B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і в країнах ЄС, де  сіль</w:t>
      </w:r>
      <w:r w:rsidR="0018053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ське господарство </w:t>
      </w:r>
      <w:r w:rsidR="00934A6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генерує  приблизно </w:t>
      </w:r>
      <w:r w:rsidR="004676B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1,2 %</w:t>
      </w:r>
      <w:r w:rsidR="0018053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ВВП</w:t>
      </w:r>
      <w:r w:rsidR="004676B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</w:t>
      </w:r>
      <w:r w:rsidR="00DC29A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але </w:t>
      </w:r>
      <w:r w:rsidR="004676B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на реалізацію заходів аграрної політики щорічно використовується 40,0%  від загальної суми </w:t>
      </w:r>
      <w:r w:rsidR="0018053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бюджету ЄС.</w:t>
      </w:r>
      <w:r w:rsidR="00180531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53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Найбільша частина</w:t>
      </w:r>
      <w:r w:rsidR="00B54E2A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коштів  (3/4</w:t>
      </w:r>
      <w:r w:rsidR="0018053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) спрямовується  </w:t>
      </w:r>
      <w:r w:rsidR="00CF30B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на</w:t>
      </w:r>
      <w:r w:rsidR="008037C8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компенсаційні виплати фермерам</w:t>
      </w:r>
      <w:r w:rsidR="004676B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18053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з метою стабілізації</w:t>
      </w:r>
      <w:r w:rsidR="00B54E2A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необхідного рівня цін  та збільшення </w:t>
      </w:r>
      <w:r w:rsidR="0018053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доходів </w:t>
      </w:r>
      <w:r w:rsidR="00757EDA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[7</w:t>
      </w:r>
      <w:r w:rsidR="004676B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, с. 38].</w:t>
      </w:r>
    </w:p>
    <w:p w:rsidR="003016E8" w:rsidRPr="00D30962" w:rsidRDefault="00555523" w:rsidP="005959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Отже</w:t>
      </w:r>
      <w:r w:rsidR="003016E8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, 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можна констатувати, що </w:t>
      </w:r>
      <w:r w:rsidR="003016E8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світове співтовариство </w:t>
      </w:r>
      <w:r w:rsidR="008238A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розробило достатньо злагоджений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8238A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комплекс державних </w:t>
      </w:r>
      <w:r w:rsidR="00F64BB6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важелів впливу, які здатні</w:t>
      </w:r>
      <w:r w:rsidR="003016E8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стимулювати аграріїв, забе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зпечити контроль над цінами</w:t>
      </w:r>
      <w:r w:rsidR="006B2A51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, 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встановити відповідні</w:t>
      </w:r>
      <w:r w:rsidR="003016E8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вимоги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до </w:t>
      </w:r>
      <w:r w:rsidR="00D832C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безпеки та якості харчових продуктів 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з метою</w:t>
      </w:r>
      <w:r w:rsidR="003C5A3F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підтримки</w:t>
      </w:r>
      <w:r w:rsidR="003016E8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виробників та захист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у</w:t>
      </w:r>
      <w:r w:rsidR="003016E8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прав споживачів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.</w:t>
      </w:r>
    </w:p>
    <w:p w:rsidR="00456762" w:rsidRPr="00D30962" w:rsidRDefault="002076C6" w:rsidP="004567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На жаль, життєдіяльність країни в умовах війни </w:t>
      </w:r>
      <w:r w:rsidR="009E12CF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порушила правила функціонування світового продовольчого ринку та</w:t>
      </w:r>
      <w:r w:rsidR="009E12CF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0B6FAC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унеможливила 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використання</w:t>
      </w:r>
      <w:r w:rsidR="009E12CF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465D5E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зазначених</w:t>
      </w:r>
      <w:r w:rsidR="00BD647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заходів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, а потребує швидкого реа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гу</w:t>
      </w:r>
      <w:r w:rsidR="00D5257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вання органів державної влади  та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D5257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прийняття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7C233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ефективних 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управлінських рішень. </w:t>
      </w:r>
      <w:r w:rsidR="007752EC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Враховуючи ситуацію,</w:t>
      </w:r>
      <w:r w:rsidR="00DC29A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D5257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набув чинності</w:t>
      </w:r>
      <w:r w:rsidR="00DC29A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З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акон 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«Про внесення змін до деяких законодавчих актів України щодо створення умов для забезпечення продовольчої безпеки в умовах воєнного стану»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(24.03.22.)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56762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яким 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передбачено передачу  20 тис. га земель комунальної власності для сільськогосподарського виробництва</w:t>
      </w:r>
      <w:r w:rsidR="00C419E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</w:t>
      </w:r>
      <w:r w:rsidR="003C5A3F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D5257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розширюються</w:t>
      </w:r>
      <w:r w:rsidR="003C5A3F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C419E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 такому напрямі і </w:t>
      </w:r>
      <w:r w:rsidR="003C5A3F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прав</w:t>
      </w:r>
      <w:r w:rsidR="00D52570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районних військових</w:t>
      </w:r>
      <w:r w:rsidR="00C419E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адміністрацій. 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Поряд із цим</w:t>
      </w:r>
      <w:r w:rsidR="008037C8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,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затверджено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план заходів із забезпечення продовольчої </w:t>
      </w:r>
      <w:r w:rsidR="00D52570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безпеки, який передбачає</w:t>
      </w:r>
      <w:r w:rsidR="00456762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:</w:t>
      </w:r>
      <w:r w:rsidR="00456762" w:rsidRPr="00D30962">
        <w:rPr>
          <w:rFonts w:ascii="Times New Roman" w:eastAsia="TimesNewRomanPSMT" w:hAnsi="Times New Roman" w:cs="Times New Roman"/>
          <w:i/>
          <w:iCs/>
          <w:sz w:val="24"/>
          <w:szCs w:val="24"/>
          <w:lang w:val="ru-RU"/>
        </w:rPr>
        <w:t xml:space="preserve"> </w:t>
      </w:r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по-перше, моніторинг стану продовольчої безпеки</w:t>
      </w:r>
      <w:r w:rsidR="008037C8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та с/г </w:t>
      </w:r>
      <w:r w:rsidR="008037C8" w:rsidRPr="00D30962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інфраструктури</w:t>
      </w:r>
      <w:r w:rsidR="003042C9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; по-друге, </w:t>
      </w:r>
      <w:r w:rsidR="00D52570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надання держпідтримки </w:t>
      </w:r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виробникам харчових продукт</w:t>
      </w:r>
      <w:r w:rsidR="003042C9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ів; п</w:t>
      </w:r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о-трет</w:t>
      </w:r>
      <w:proofErr w:type="gramStart"/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є,</w:t>
      </w:r>
      <w:proofErr w:type="gramEnd"/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</w:t>
      </w:r>
      <w:r w:rsidR="00D52570" w:rsidRPr="00D30962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отримання</w:t>
      </w:r>
      <w:r w:rsidR="00D52570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адресної продовольчої допомоги найбільш соціально вразливим верствам </w:t>
      </w:r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населення</w:t>
      </w:r>
      <w:r w:rsidR="003042C9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;</w:t>
      </w:r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‎</w:t>
      </w:r>
      <w:r w:rsidR="003042C9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п</w:t>
      </w:r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>о</w:t>
      </w:r>
      <w:r w:rsidR="00237260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</w:t>
      </w:r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- </w:t>
      </w:r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четверте</w:t>
      </w:r>
      <w:r w:rsidR="00456762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, </w:t>
      </w:r>
      <w:r w:rsidR="00BD6470" w:rsidRPr="00D30962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під</w:t>
      </w:r>
      <w:r w:rsidR="00BD6470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</w:t>
      </w:r>
      <w:r w:rsidR="00BD6470" w:rsidRPr="00D30962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особливий</w:t>
      </w:r>
      <w:r w:rsidR="00BD6470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контроль держава </w:t>
      </w:r>
      <w:r w:rsidR="00BD6470" w:rsidRPr="00D30962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бере</w:t>
      </w:r>
      <w:r w:rsidR="00BD6470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</w:t>
      </w:r>
      <w:r w:rsidR="00CD05E9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регулювання </w:t>
      </w:r>
      <w:r w:rsidR="00CD05E9" w:rsidRPr="00D30962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продуктових</w:t>
      </w:r>
      <w:r w:rsidR="00CD05E9" w:rsidRPr="00D30962">
        <w:rPr>
          <w:rFonts w:ascii="Times New Roman" w:eastAsia="TimesNewRomanPSMT" w:hAnsi="Times New Roman" w:cs="Times New Roman"/>
          <w:iCs/>
          <w:sz w:val="24"/>
          <w:szCs w:val="24"/>
          <w:lang w:val="ru-RU"/>
        </w:rPr>
        <w:t xml:space="preserve"> цін </w:t>
      </w:r>
      <w:r w:rsidR="00DD439C" w:rsidRPr="00D30962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[8</w:t>
      </w:r>
      <w:r w:rsidR="003042C9" w:rsidRPr="00D30962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].</w:t>
      </w:r>
    </w:p>
    <w:p w:rsidR="0054169E" w:rsidRPr="00D30962" w:rsidRDefault="00F90749" w:rsidP="00F907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Уряд </w:t>
      </w:r>
      <w:r w:rsidR="008346E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запровадив</w:t>
      </w:r>
      <w:r w:rsidR="0024568A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5BD9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субсидування</w:t>
      </w:r>
      <w:proofErr w:type="spellEnd"/>
      <w:r w:rsidR="00615BD9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15BD9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процентної</w:t>
      </w:r>
      <w:proofErr w:type="spellEnd"/>
      <w:r w:rsidR="00615BD9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ставки за </w:t>
      </w:r>
      <w:proofErr w:type="spellStart"/>
      <w:r w:rsidR="00615BD9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інвестиційними</w:t>
      </w:r>
      <w:proofErr w:type="spellEnd"/>
      <w:r w:rsidR="00615BD9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кредитами 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проходження</w:t>
      </w:r>
      <w:proofErr w:type="spellEnd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пос</w:t>
      </w:r>
      <w:proofErr w:type="gramEnd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івної</w:t>
      </w:r>
      <w:proofErr w:type="spellEnd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кампанії</w:t>
      </w:r>
      <w:proofErr w:type="spellEnd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.</w:t>
      </w:r>
      <w:r w:rsidR="0024568A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Аграрії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 можуть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отримати не більше 100 млн</w:t>
      </w:r>
      <w:r w:rsidR="008037C8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.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грн</w:t>
      </w:r>
      <w:r w:rsidR="008037C8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.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під ринковий відсоток або не більше 50 млн</w:t>
      </w:r>
      <w:r w:rsidR="008037C8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.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грн</w:t>
      </w:r>
      <w:r w:rsidR="008037C8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.</w:t>
      </w:r>
      <w:r w:rsidR="007C2335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під 0%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</w:p>
    <w:p w:rsidR="004B20ED" w:rsidRPr="00D30962" w:rsidRDefault="008037C8" w:rsidP="00DD439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(</w:t>
      </w:r>
      <w:r w:rsidR="00F9074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термін кредиту – 6 місяців)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. На базі Державної служби України з питань безпечності харчових продуктів та захисту споживачів створена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</w:rPr>
        <w:t> </w:t>
      </w:r>
      <w:hyperlink r:id="rId7" w:tgtFrame="_blank" w:history="1">
        <w:r w:rsidR="0054169E" w:rsidRPr="00D30962">
          <w:rPr>
            <w:rStyle w:val="a3"/>
            <w:rFonts w:ascii="Times New Roman" w:eastAsia="TimesNewRomanPSMT" w:hAnsi="Times New Roman" w:cs="Times New Roman"/>
            <w:bCs/>
            <w:color w:val="auto"/>
            <w:sz w:val="24"/>
            <w:szCs w:val="24"/>
            <w:u w:val="none"/>
            <w:lang w:val="uk-UA"/>
          </w:rPr>
          <w:t>Національна платформа продовольчої безпеки</w:t>
        </w:r>
      </w:hyperlink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, яка дозволить об'єднати зусилля військових адміністрацій, виробників харчових продуктів, </w:t>
      </w:r>
      <w:r w:rsidR="00716538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міжнародних організацій</w:t>
      </w:r>
      <w:r w:rsidR="0024568A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,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торговельни</w:t>
      </w:r>
      <w:r w:rsidR="0024568A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х мереж</w:t>
      </w:r>
      <w:r w:rsidR="00270DC7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для стимулювання виходу із кризи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української ек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ономіки  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та забезпечення харчовими продуктами й товарами першої необхідності</w:t>
      </w:r>
      <w:r w:rsidR="007C233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.</w:t>
      </w:r>
      <w:r w:rsidR="0054169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</w:p>
    <w:p w:rsidR="002076C6" w:rsidRPr="00D30962" w:rsidRDefault="00136F1A" w:rsidP="00F10C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В нинішніх</w:t>
      </w:r>
      <w:r w:rsidR="004B20ED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AE7978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національних </w:t>
      </w:r>
      <w:r w:rsidR="004B20ED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реаліях 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прикладом вик</w:t>
      </w:r>
      <w:r w:rsidR="00D52570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ористання зарубіжного досвіду слугує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проє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кт «Сади перемоги» (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</w:rPr>
        <w:t>Victory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</w:rPr>
        <w:t>gardens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). Це овочеві, фруктові та трав</w:t>
      </w:r>
      <w:r w:rsidR="00D52570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’яні сади, висаджені в приватних секторах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і громадських парках</w:t>
      </w:r>
      <w:r w:rsidR="004323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, 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BD6470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які </w:t>
      </w:r>
      <w:r w:rsidR="004323D9" w:rsidRPr="00D309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покращували моральний дух громадян</w:t>
      </w:r>
      <w:r w:rsidR="008346E6" w:rsidRPr="00D309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4323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сприяли збільшенню продовольчих запасів 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під час Першої та Другої світових воєн. </w:t>
      </w:r>
      <w:r w:rsidR="00FA5BA7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За аналогією</w:t>
      </w:r>
      <w:r w:rsidR="00465D5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, </w:t>
      </w:r>
      <w:r w:rsidR="00901DF1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з ціллю</w:t>
      </w:r>
      <w:r w:rsidR="00465D5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901DF1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надання </w:t>
      </w:r>
      <w:r w:rsidR="00465D5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допомоги нашому уряду </w:t>
      </w:r>
      <w:r w:rsidR="00901DF1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у здійсненні ключових реформ в економіці</w:t>
      </w:r>
      <w:r w:rsidR="00465D5E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,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був започаткований та фінансується урядом Канади проект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</w:rPr>
        <w:t>SUR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</w:rPr>
        <w:t>Ge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(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</w:rPr>
        <w:t>Support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</w:rPr>
        <w:t>to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</w:rPr>
        <w:t>Ukraine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’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</w:rPr>
        <w:t>s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</w:rPr>
        <w:t>Reforms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</w:rPr>
        <w:t>for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</w:rPr>
        <w:t>Governance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)</w:t>
      </w:r>
      <w:r w:rsidR="0024568A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, 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з початком війни – </w:t>
      </w:r>
      <w:r w:rsidR="00FA5BA7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сконцентрував увагу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на гуманітарних пита</w:t>
      </w:r>
      <w:r w:rsidR="00FC4EFD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ннях, а саме: </w:t>
      </w:r>
      <w:r w:rsidR="00BD6470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забезпечення населення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їжею.</w:t>
      </w:r>
      <w:r w:rsidR="00F10CB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У </w:t>
      </w:r>
      <w:r w:rsidR="00F10CB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тісній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співпраці </w:t>
      </w:r>
      <w:r w:rsidR="00FA5BA7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з ним</w:t>
      </w:r>
      <w:r w:rsidR="00F10CB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0913BC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запущена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 </w:t>
      </w:r>
      <w:r w:rsidR="00FC4EFD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всеукраїнська ініціатива </w:t>
      </w:r>
      <w:hyperlink r:id="rId8" w:tgtFrame="_blank" w:history="1">
        <w:r w:rsidR="00441FD9" w:rsidRPr="00D30962">
          <w:rPr>
            <w:rStyle w:val="a3"/>
            <w:rFonts w:ascii="Times New Roman" w:eastAsia="TimesNewRomanPSMT" w:hAnsi="Times New Roman" w:cs="Times New Roman"/>
            <w:bCs/>
            <w:color w:val="auto"/>
            <w:sz w:val="24"/>
            <w:szCs w:val="24"/>
            <w:u w:val="none"/>
          </w:rPr>
          <w:t>Seeds</w:t>
        </w:r>
        <w:r w:rsidR="00441FD9" w:rsidRPr="00D30962">
          <w:rPr>
            <w:rStyle w:val="a3"/>
            <w:rFonts w:ascii="Times New Roman" w:eastAsia="TimesNewRomanPSMT" w:hAnsi="Times New Roman" w:cs="Times New Roman"/>
            <w:bCs/>
            <w:color w:val="auto"/>
            <w:sz w:val="24"/>
            <w:szCs w:val="24"/>
            <w:u w:val="none"/>
            <w:lang w:val="uk-UA"/>
          </w:rPr>
          <w:t xml:space="preserve"> </w:t>
        </w:r>
        <w:r w:rsidR="00441FD9" w:rsidRPr="00D30962">
          <w:rPr>
            <w:rStyle w:val="a3"/>
            <w:rFonts w:ascii="Times New Roman" w:eastAsia="TimesNewRomanPSMT" w:hAnsi="Times New Roman" w:cs="Times New Roman"/>
            <w:bCs/>
            <w:color w:val="auto"/>
            <w:sz w:val="24"/>
            <w:szCs w:val="24"/>
            <w:u w:val="none"/>
          </w:rPr>
          <w:t>for</w:t>
        </w:r>
        <w:r w:rsidR="00441FD9" w:rsidRPr="00D30962">
          <w:rPr>
            <w:rStyle w:val="a3"/>
            <w:rFonts w:ascii="Times New Roman" w:eastAsia="TimesNewRomanPSMT" w:hAnsi="Times New Roman" w:cs="Times New Roman"/>
            <w:bCs/>
            <w:color w:val="auto"/>
            <w:sz w:val="24"/>
            <w:szCs w:val="24"/>
            <w:u w:val="none"/>
            <w:lang w:val="uk-UA"/>
          </w:rPr>
          <w:t xml:space="preserve"> </w:t>
        </w:r>
        <w:r w:rsidR="00441FD9" w:rsidRPr="00D30962">
          <w:rPr>
            <w:rStyle w:val="a3"/>
            <w:rFonts w:ascii="Times New Roman" w:eastAsia="TimesNewRomanPSMT" w:hAnsi="Times New Roman" w:cs="Times New Roman"/>
            <w:bCs/>
            <w:color w:val="auto"/>
            <w:sz w:val="24"/>
            <w:szCs w:val="24"/>
            <w:u w:val="none"/>
          </w:rPr>
          <w:t>Ukraine</w:t>
        </w:r>
      </w:hyperlink>
      <w:r w:rsidR="00B019D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, мета якої –  </w:t>
      </w:r>
      <w:r w:rsidR="000913BC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збір</w:t>
      </w:r>
      <w:r w:rsidR="00141A1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та постачання</w:t>
      </w:r>
      <w:r w:rsidR="000913BC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141A1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українським </w:t>
      </w:r>
      <w:r w:rsidR="00141A1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lastRenderedPageBreak/>
        <w:t xml:space="preserve">родинам </w:t>
      </w:r>
      <w:r w:rsidR="00B3427D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насіння харчових культур </w:t>
      </w:r>
      <w:r w:rsidR="00141A1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зусиллями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і</w:t>
      </w:r>
      <w:r w:rsidR="00141A1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ноземних агрокомпаній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, ферм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ерськ</w:t>
      </w:r>
      <w:r w:rsidR="00141A1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их</w:t>
      </w:r>
      <w:r w:rsidR="000913BC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141A1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господарств</w:t>
      </w:r>
      <w:r w:rsidR="007C233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та 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бізнес</w:t>
      </w:r>
      <w:r w:rsidR="00141A15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>у</w:t>
      </w:r>
      <w:r w:rsidR="00441FD9"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 </w:t>
      </w:r>
      <w:r w:rsidR="00DD439C" w:rsidRPr="00D30962">
        <w:rPr>
          <w:rFonts w:ascii="Times New Roman" w:eastAsia="TimesNewRomanPSMT" w:hAnsi="Times New Roman" w:cs="Times New Roman"/>
          <w:bCs/>
          <w:iCs/>
          <w:sz w:val="24"/>
          <w:szCs w:val="24"/>
          <w:lang w:val="uk-UA"/>
        </w:rPr>
        <w:t>[9].</w:t>
      </w:r>
    </w:p>
    <w:p w:rsidR="00B547E0" w:rsidRPr="00D30962" w:rsidRDefault="000C3DF5" w:rsidP="00BF25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У </w:t>
      </w:r>
      <w:r w:rsidR="00E6366A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перспективі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A744BB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виникне необхідність визнача</w:t>
      </w:r>
      <w:r w:rsidR="00BF259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ти можливості України щодо підтримки сільського господарства задля зміцнення продовольчого забезпечення, 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концептуального осмислення ролі державного регулювання аграрного сектору в частині формування довгострокової стратегії</w:t>
      </w:r>
      <w:r w:rsidR="00BF259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до її реалізації</w:t>
      </w:r>
      <w:r w:rsidR="00A744BB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6B2A5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Отже, дослідивши стратегічні ініціативи розвинутих країн </w:t>
      </w:r>
      <w:r w:rsidR="00F7363A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щодо забезпечення </w:t>
      </w:r>
      <w:r w:rsidR="006B2A5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продовольчої безпеки, доречно рекомендувати, на нашу думку,  наступні напрями: </w:t>
      </w:r>
    </w:p>
    <w:p w:rsidR="000A4853" w:rsidRPr="00D30962" w:rsidRDefault="006B2A51" w:rsidP="000A4853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державна </w:t>
      </w:r>
      <w:proofErr w:type="gramStart"/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п</w:t>
      </w:r>
      <w:proofErr w:type="gramEnd"/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ідтримка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новітніх впроваджень аграрного виробництва, в</w:t>
      </w:r>
      <w:r w:rsidR="00BF2591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тому числі екологічного аспекту до</w:t>
      </w:r>
      <w:r w:rsidR="000A4853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використання земель;</w:t>
      </w:r>
    </w:p>
    <w:p w:rsidR="00BF2591" w:rsidRPr="00D30962" w:rsidRDefault="00BF2591" w:rsidP="00BF2591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полегшення умов для агробізнесу, зниження податків, ефективну взаємодію з іноземними інвесторами у </w:t>
      </w:r>
      <w:proofErr w:type="gramStart"/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р</w:t>
      </w:r>
      <w:proofErr w:type="gramEnd"/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ізних  формах державно-приватного партнерства;</w:t>
      </w:r>
    </w:p>
    <w:p w:rsidR="00D450F8" w:rsidRPr="00D30962" w:rsidRDefault="00D450F8" w:rsidP="00BF2591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зменьшення ПДВ на сільськогосподарську продукцію</w:t>
      </w:r>
      <w:r w:rsidR="006B2A51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 до 7</w:t>
      </w:r>
      <w:r w:rsidR="00DC29A6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,0</w:t>
      </w:r>
      <w:r w:rsidR="006B2A51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%)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,</w:t>
      </w:r>
      <w:r w:rsidRPr="00D309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E319F" w:rsidRPr="00D309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що 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є потужним драй</w:t>
      </w:r>
      <w:r w:rsidR="00B86F51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вером ефективного</w:t>
      </w: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</w:t>
      </w:r>
      <w:r w:rsidR="00B86F51"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функціонування</w:t>
      </w:r>
      <w:r w:rsidRPr="00D3096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gramStart"/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п</w:t>
      </w:r>
      <w:proofErr w:type="gramEnd"/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ідвищення  конкурентоспроможності аграрного сектору;</w:t>
      </w:r>
    </w:p>
    <w:p w:rsidR="00E9111B" w:rsidRPr="00D30962" w:rsidRDefault="00E9111B" w:rsidP="00E9111B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введення системи обов’язкової сертифікації продовольчої продукції</w:t>
      </w:r>
      <w:r w:rsidRPr="00D30962">
        <w:rPr>
          <w:sz w:val="24"/>
          <w:szCs w:val="24"/>
          <w:lang w:val="ru-RU"/>
        </w:rPr>
        <w:t xml:space="preserve"> </w:t>
      </w:r>
      <w:r w:rsidR="00F7363A" w:rsidRPr="00D3096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30962">
        <w:rPr>
          <w:rFonts w:ascii="Times New Roman" w:hAnsi="Times New Roman" w:cs="Times New Roman"/>
          <w:sz w:val="24"/>
          <w:szCs w:val="24"/>
          <w:lang w:val="ru-RU"/>
        </w:rPr>
        <w:t xml:space="preserve"> метою </w:t>
      </w:r>
      <w:proofErr w:type="gramStart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п</w:t>
      </w:r>
      <w:proofErr w:type="gramEnd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ідвищення її якості на внутрішньому ринку;</w:t>
      </w:r>
    </w:p>
    <w:p w:rsidR="001C2382" w:rsidRPr="00D30962" w:rsidRDefault="001C2382" w:rsidP="00E9111B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D30962">
        <w:rPr>
          <w:rFonts w:ascii="Times New Roman" w:eastAsia="TimesNewRomanPSMT" w:hAnsi="Times New Roman" w:cs="Times New Roman"/>
          <w:bCs/>
          <w:sz w:val="24"/>
          <w:szCs w:val="24"/>
          <w:lang w:val="uk-UA"/>
        </w:rPr>
        <w:t xml:space="preserve">дотримання принципу конкурентності при наданні державної підтримки з метою забезпечення рівноправних  умов господарювання для усіх суб'єктів аграрного ринку; </w:t>
      </w:r>
    </w:p>
    <w:p w:rsidR="00E9111B" w:rsidRPr="00D30962" w:rsidRDefault="00E9111B" w:rsidP="00E9111B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державне регулювання цін із використанням механізмі</w:t>
      </w:r>
      <w:proofErr w:type="gramStart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>в</w:t>
      </w:r>
      <w:proofErr w:type="gramEnd"/>
      <w:r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закупівельних і товарних</w:t>
      </w:r>
      <w:r w:rsidR="00DC29A6" w:rsidRPr="00D3096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інтервенцій.</w:t>
      </w:r>
    </w:p>
    <w:p w:rsidR="00B327ED" w:rsidRPr="00D30962" w:rsidRDefault="00224544" w:rsidP="00A744B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Підсумовуючи, можна зазначити, що концептуальні аспекти </w:t>
      </w:r>
      <w:r w:rsidR="007D034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успішного 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досвіду розвинених країн в руслі продово</w:t>
      </w:r>
      <w:r w:rsidR="00D64EC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льчого забезпечення </w:t>
      </w:r>
      <w:r w:rsidR="00DE2EA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набувають  прикладного значення.</w:t>
      </w:r>
      <w:r w:rsidR="00A744BB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21118B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Ґрунтовні </w:t>
      </w:r>
      <w:r w:rsidR="0064544D" w:rsidRPr="00D30962">
        <w:rPr>
          <w:rFonts w:ascii="Times New Roman" w:hAnsi="Times New Roman" w:cs="Times New Roman"/>
          <w:sz w:val="24"/>
          <w:szCs w:val="24"/>
          <w:lang w:val="uk-UA"/>
        </w:rPr>
        <w:t>компонентні</w:t>
      </w:r>
      <w:r w:rsidR="00B44B4C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44D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розробки, які повинні </w:t>
      </w:r>
      <w:r w:rsidR="00901DF1" w:rsidRPr="00D30962">
        <w:rPr>
          <w:rFonts w:ascii="Times New Roman" w:hAnsi="Times New Roman" w:cs="Times New Roman"/>
          <w:sz w:val="24"/>
          <w:szCs w:val="24"/>
          <w:lang w:val="uk-UA"/>
        </w:rPr>
        <w:t>враховувати світову практику</w:t>
      </w:r>
      <w:r w:rsidR="0064544D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 та національні особливості, </w:t>
      </w:r>
      <w:r w:rsidR="0021118B" w:rsidRPr="00D30962">
        <w:rPr>
          <w:rFonts w:ascii="Times New Roman" w:hAnsi="Times New Roman" w:cs="Times New Roman"/>
          <w:sz w:val="24"/>
          <w:szCs w:val="24"/>
          <w:lang w:val="uk-UA"/>
        </w:rPr>
        <w:t xml:space="preserve">будуть </w:t>
      </w:r>
      <w:r w:rsidR="0021118B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доречними в </w:t>
      </w:r>
      <w:r w:rsidR="0021118B" w:rsidRPr="00D30962">
        <w:rPr>
          <w:rFonts w:ascii="Times New Roman" w:hAnsi="Times New Roman" w:cs="Times New Roman"/>
          <w:sz w:val="24"/>
          <w:szCs w:val="24"/>
          <w:lang w:val="uk-UA"/>
        </w:rPr>
        <w:t>управлінні процесом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підви</w:t>
      </w:r>
      <w:r w:rsidR="0064544D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щення ефективності та конкурентоспроможності товарови</w:t>
      </w:r>
      <w:r w:rsidR="00934A69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робників продовольчої продукції, стати</w:t>
      </w:r>
      <w:r w:rsidR="0064544D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D64EC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AF47A6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ск</w:t>
      </w:r>
      <w:r w:rsidR="00D64EC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ладовою як </w:t>
      </w:r>
      <w:r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E6366A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="007D0341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грарної політики держави</w:t>
      </w:r>
      <w:r w:rsidR="00D64EC5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так і </w:t>
      </w:r>
      <w:r w:rsidR="00E6366A" w:rsidRPr="00D30962">
        <w:rPr>
          <w:rFonts w:ascii="Times New Roman" w:eastAsia="TimesNewRomanPSMT" w:hAnsi="Times New Roman" w:cs="Times New Roman"/>
          <w:sz w:val="24"/>
          <w:szCs w:val="24"/>
          <w:lang w:val="uk-UA"/>
        </w:rPr>
        <w:t>стратегії продовольчої безпеки.</w:t>
      </w:r>
    </w:p>
    <w:p w:rsidR="00E6366A" w:rsidRPr="00D30962" w:rsidRDefault="00E6366A" w:rsidP="00A744B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D30962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Література</w:t>
      </w:r>
    </w:p>
    <w:p w:rsidR="00757EDA" w:rsidRPr="004323D9" w:rsidRDefault="00757EDA" w:rsidP="004323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Україна годує 400 млн. людей у </w:t>
      </w:r>
      <w:proofErr w:type="gramStart"/>
      <w:r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>св</w:t>
      </w:r>
      <w:proofErr w:type="gramEnd"/>
      <w:r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іті. </w:t>
      </w:r>
      <w:r w:rsidRPr="004323D9">
        <w:rPr>
          <w:rFonts w:ascii="Times New Roman" w:eastAsia="TimesNewRomanPSMT" w:hAnsi="Times New Roman" w:cs="Times New Roman"/>
          <w:sz w:val="24"/>
          <w:szCs w:val="24"/>
        </w:rPr>
        <w:t xml:space="preserve">URL: </w:t>
      </w:r>
      <w:hyperlink r:id="rId9" w:history="1">
        <w:r w:rsidRPr="004323D9"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https://agronews.ua/news/ukrayina-goduye-400-mln-lyudej-u-sviti/</w:t>
        </w:r>
      </w:hyperlink>
    </w:p>
    <w:p w:rsidR="00757EDA" w:rsidRPr="004323D9" w:rsidRDefault="00757EDA" w:rsidP="004323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23D9">
        <w:rPr>
          <w:rFonts w:ascii="Times New Roman" w:eastAsia="TimesNewRomanPSMT" w:hAnsi="Times New Roman" w:cs="Times New Roman"/>
          <w:sz w:val="24"/>
          <w:szCs w:val="24"/>
          <w:lang w:val="uk-UA"/>
        </w:rPr>
        <w:t>Johnson R., &amp; Monke J. (2018, Apr 26). What Is the Farm Bill Congressional Research Service Report. Retrieved from</w:t>
      </w:r>
      <w:r w:rsidR="00266FA7" w:rsidRPr="004323D9">
        <w:rPr>
          <w:rFonts w:ascii="Times New Roman" w:hAnsi="Times New Roman" w:cs="Times New Roman"/>
          <w:sz w:val="24"/>
          <w:szCs w:val="24"/>
        </w:rPr>
        <w:t xml:space="preserve"> </w:t>
      </w:r>
      <w:r w:rsidR="00266FA7" w:rsidRPr="004323D9">
        <w:rPr>
          <w:rFonts w:ascii="Times New Roman" w:eastAsia="TimesNewRomanPSMT" w:hAnsi="Times New Roman" w:cs="Times New Roman"/>
          <w:sz w:val="24"/>
          <w:szCs w:val="24"/>
          <w:lang w:val="uk-UA"/>
        </w:rPr>
        <w:t>URL:</w:t>
      </w:r>
      <w:r w:rsidRPr="004323D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hyperlink r:id="rId10" w:history="1">
        <w:r w:rsidRPr="004323D9">
          <w:rPr>
            <w:rStyle w:val="a3"/>
            <w:rFonts w:ascii="Times New Roman" w:eastAsia="TimesNewRomanPSMT" w:hAnsi="Times New Roman" w:cs="Times New Roman"/>
            <w:sz w:val="24"/>
            <w:szCs w:val="24"/>
            <w:lang w:val="uk-UA"/>
          </w:rPr>
          <w:t>https://fas.org/sgp/crs/misc/RS22131.pdf</w:t>
        </w:r>
      </w:hyperlink>
    </w:p>
    <w:p w:rsidR="00757EDA" w:rsidRPr="004323D9" w:rsidRDefault="00757EDA" w:rsidP="004323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23D9">
        <w:rPr>
          <w:rFonts w:ascii="Times New Roman" w:eastAsia="TimesNewRomanPSMT" w:hAnsi="Times New Roman" w:cs="Times New Roman"/>
          <w:sz w:val="24"/>
          <w:szCs w:val="24"/>
        </w:rPr>
        <w:t xml:space="preserve">Common agricultural policy (2018). European Commission: Website. Retrieved from </w:t>
      </w:r>
      <w:hyperlink r:id="rId11" w:history="1">
        <w:r w:rsidR="00991328" w:rsidRPr="004323D9"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URL:</w:t>
        </w:r>
        <w:r w:rsidR="00991328" w:rsidRPr="004323D9">
          <w:rPr>
            <w:rStyle w:val="a3"/>
            <w:rFonts w:ascii="Times New Roman" w:eastAsia="TimesNewRomanPSMT" w:hAnsi="Times New Roman" w:cs="Times New Roman"/>
            <w:color w:val="6666FF" w:themeColor="hyperlink" w:themeTint="99"/>
            <w:sz w:val="24"/>
            <w:szCs w:val="24"/>
          </w:rPr>
          <w:t>https://ec.europa.eu/info/food-farming-fisheries/keypolicies</w:t>
        </w:r>
        <w:r w:rsidR="00991328" w:rsidRPr="004323D9"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/common-agricultural</w:t>
        </w:r>
      </w:hyperlink>
      <w:r w:rsidR="00991328" w:rsidRPr="004323D9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4323D9">
        <w:rPr>
          <w:rFonts w:ascii="Times New Roman" w:eastAsia="TimesNewRomanPSMT" w:hAnsi="Times New Roman" w:cs="Times New Roman"/>
          <w:sz w:val="24"/>
          <w:szCs w:val="24"/>
        </w:rPr>
        <w:t>policy_en</w:t>
      </w:r>
    </w:p>
    <w:p w:rsidR="00757EDA" w:rsidRPr="004323D9" w:rsidRDefault="00757EDA" w:rsidP="004323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23D9">
        <w:rPr>
          <w:rFonts w:ascii="Times New Roman" w:eastAsia="TimesNewRomanPSMT" w:hAnsi="Times New Roman" w:cs="Times New Roman"/>
          <w:sz w:val="24"/>
          <w:szCs w:val="24"/>
        </w:rPr>
        <w:t xml:space="preserve">Rausser G., Zilberman D. The Evolution of US Agricultural Policy. Reference Module in Food Science. 2016. doi: </w:t>
      </w:r>
      <w:r w:rsidR="00266FA7" w:rsidRPr="004323D9">
        <w:rPr>
          <w:rFonts w:ascii="Times New Roman" w:eastAsia="TimesNewRomanPSMT" w:hAnsi="Times New Roman" w:cs="Times New Roman"/>
          <w:sz w:val="24"/>
          <w:szCs w:val="24"/>
        </w:rPr>
        <w:t>URL:</w:t>
      </w:r>
      <w:hyperlink r:id="rId12" w:history="1">
        <w:r w:rsidRPr="004323D9"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https://doi.org/10.1016/B978-0-08-100596-5.02914-0</w:t>
        </w:r>
      </w:hyperlink>
    </w:p>
    <w:p w:rsidR="00757EDA" w:rsidRPr="004323D9" w:rsidRDefault="00757EDA" w:rsidP="004323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23D9">
        <w:rPr>
          <w:rFonts w:ascii="Times New Roman" w:eastAsia="TimesNewRomanPSMT" w:hAnsi="Times New Roman" w:cs="Times New Roman"/>
          <w:sz w:val="24"/>
          <w:szCs w:val="24"/>
        </w:rPr>
        <w:t>Malatinec T. EU agrarian policy legal framework as a part of the EU development practice. 2015. Food and Agriculture Organization of the United Nations: Website.</w:t>
      </w:r>
    </w:p>
    <w:p w:rsidR="00757EDA" w:rsidRPr="004323D9" w:rsidRDefault="002E3BC2" w:rsidP="004323D9">
      <w:pPr>
        <w:pStyle w:val="a4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hyperlink r:id="rId13" w:history="1">
        <w:r w:rsidR="00757EDA" w:rsidRPr="004323D9">
          <w:rPr>
            <w:rStyle w:val="a3"/>
            <w:rFonts w:ascii="Times New Roman" w:eastAsia="TimesNewRomanPSMT" w:hAnsi="Times New Roman" w:cs="Times New Roman"/>
            <w:color w:val="auto"/>
            <w:sz w:val="24"/>
            <w:szCs w:val="24"/>
            <w:u w:val="none"/>
          </w:rPr>
          <w:t>URL</w:t>
        </w:r>
        <w:r w:rsidR="00757EDA" w:rsidRPr="004323D9"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:http://agris.fao.org/agrissearch/search.do;jsessionid=DA20E35183CFBAFB1019F588052E6817?request_locale=ru&amp;recordID=SK2016014064</w:t>
        </w:r>
      </w:hyperlink>
    </w:p>
    <w:p w:rsidR="00757EDA" w:rsidRPr="004323D9" w:rsidRDefault="00757EDA" w:rsidP="004323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Олійник В. Державне регулювання у сфері забезпечення продовольчої безпеки: зарубіжний досвід. </w:t>
      </w:r>
      <w:r w:rsidRPr="004323D9">
        <w:rPr>
          <w:rFonts w:ascii="Times New Roman" w:eastAsia="TimesNewRomanPSMT" w:hAnsi="Times New Roman" w:cs="Times New Roman"/>
          <w:i/>
          <w:sz w:val="24"/>
          <w:szCs w:val="24"/>
          <w:lang w:val="ru-RU"/>
        </w:rPr>
        <w:t>Державне управління та місцеве самоврядування</w:t>
      </w:r>
      <w:r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. 2012. № 1. С. 12–17. URL: </w:t>
      </w:r>
      <w:hyperlink r:id="rId14" w:history="1">
        <w:r w:rsidRPr="004323D9">
          <w:rPr>
            <w:rStyle w:val="a3"/>
            <w:rFonts w:ascii="Times New Roman" w:eastAsia="TimesNewRomanPSMT" w:hAnsi="Times New Roman" w:cs="Times New Roman"/>
            <w:sz w:val="24"/>
            <w:szCs w:val="24"/>
            <w:lang w:val="ru-RU"/>
          </w:rPr>
          <w:t>http://www.dridu.dp.ua/vidavnictvo/2012/2012_01(12)/12ovobzd.pdf</w:t>
        </w:r>
      </w:hyperlink>
      <w:r w:rsidR="00093AD0" w:rsidRPr="004323D9">
        <w:rPr>
          <w:rStyle w:val="a3"/>
          <w:rFonts w:ascii="Times New Roman" w:eastAsia="TimesNewRomanPSMT" w:hAnsi="Times New Roman" w:cs="Times New Roman"/>
          <w:sz w:val="24"/>
          <w:szCs w:val="24"/>
          <w:lang w:val="ru-RU"/>
        </w:rPr>
        <w:t>.</w:t>
      </w:r>
    </w:p>
    <w:p w:rsidR="00757EDA" w:rsidRPr="004323D9" w:rsidRDefault="00757EDA" w:rsidP="004323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323D9">
        <w:rPr>
          <w:rFonts w:ascii="Times New Roman" w:eastAsia="TimesNewRomanPSMT" w:hAnsi="Times New Roman" w:cs="Times New Roman"/>
          <w:sz w:val="24"/>
          <w:szCs w:val="24"/>
        </w:rPr>
        <w:t xml:space="preserve">Lushpaiev S.O. (2015). Poniattia prodovolchoi bezpeky za zakonodavstvom zarubizhnykh derzhav [The concept of food security under the laws of foreign countries]. </w:t>
      </w:r>
      <w:r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>Forum prava, no 3, pp. 135–142. (in Ukrainian)</w:t>
      </w:r>
    </w:p>
    <w:p w:rsidR="00757EDA" w:rsidRPr="004323D9" w:rsidRDefault="00DD439C" w:rsidP="004323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proofErr w:type="spellStart"/>
      <w:r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>Урядовий</w:t>
      </w:r>
      <w:proofErr w:type="spellEnd"/>
      <w:r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портал </w:t>
      </w:r>
      <w:r w:rsidR="00266FA7"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>URL:</w:t>
      </w:r>
      <w:hyperlink r:id="rId15" w:history="1">
        <w:r w:rsidRPr="004323D9">
          <w:rPr>
            <w:rStyle w:val="a3"/>
            <w:rFonts w:ascii="Times New Roman" w:eastAsia="TimesNewRomanPSMT" w:hAnsi="Times New Roman" w:cs="Times New Roman"/>
            <w:sz w:val="24"/>
            <w:szCs w:val="24"/>
            <w:lang w:val="ru-RU"/>
          </w:rPr>
          <w:t>https://www.kmu.gov.ua/news/uryad-zatverdiv-plan-iz-zabezpechennya-prodovolchoyi-bezpeki-v-umovah-voyennogo-stanu</w:t>
        </w:r>
      </w:hyperlink>
    </w:p>
    <w:p w:rsidR="00757EDA" w:rsidRPr="003F3D38" w:rsidRDefault="00093AD0" w:rsidP="004323D9">
      <w:pPr>
        <w:pStyle w:val="a4"/>
        <w:numPr>
          <w:ilvl w:val="0"/>
          <w:numId w:val="6"/>
        </w:numPr>
        <w:spacing w:line="240" w:lineRule="auto"/>
        <w:jc w:val="both"/>
        <w:rPr>
          <w:rStyle w:val="a3"/>
          <w:rFonts w:ascii="Times New Roman" w:eastAsia="TimesNewRomanPSMT" w:hAnsi="Times New Roman" w:cs="Times New Roman"/>
          <w:color w:val="auto"/>
          <w:sz w:val="24"/>
          <w:szCs w:val="24"/>
          <w:u w:val="none"/>
        </w:rPr>
      </w:pPr>
      <w:r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В Україні запускають ініціативу, яка допоможе запобігти продовольчій кризі під час війни. </w:t>
      </w:r>
      <w:r w:rsidR="00DD439C" w:rsidRPr="004323D9">
        <w:rPr>
          <w:rFonts w:ascii="Times New Roman" w:eastAsia="TimesNewRomanPSMT" w:hAnsi="Times New Roman" w:cs="Times New Roman"/>
          <w:sz w:val="24"/>
          <w:szCs w:val="24"/>
        </w:rPr>
        <w:t xml:space="preserve">AGRONEWS, 8 </w:t>
      </w:r>
      <w:r w:rsidR="006C466D"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>т</w:t>
      </w:r>
      <w:r w:rsidR="00DD439C" w:rsidRPr="004323D9">
        <w:rPr>
          <w:rFonts w:ascii="Times New Roman" w:eastAsia="TimesNewRomanPSMT" w:hAnsi="Times New Roman" w:cs="Times New Roman"/>
          <w:sz w:val="24"/>
          <w:szCs w:val="24"/>
          <w:lang w:val="ru-RU"/>
        </w:rPr>
        <w:t>равня</w:t>
      </w:r>
      <w:r w:rsidR="00DD439C" w:rsidRPr="004323D9">
        <w:rPr>
          <w:rFonts w:ascii="Times New Roman" w:eastAsia="TimesNewRomanPSMT" w:hAnsi="Times New Roman" w:cs="Times New Roman"/>
          <w:sz w:val="24"/>
          <w:szCs w:val="24"/>
        </w:rPr>
        <w:t>, 2022</w:t>
      </w:r>
      <w:r w:rsidR="00266FA7" w:rsidRPr="004323D9">
        <w:rPr>
          <w:rFonts w:ascii="Times New Roman" w:hAnsi="Times New Roman" w:cs="Times New Roman"/>
          <w:sz w:val="24"/>
          <w:szCs w:val="24"/>
        </w:rPr>
        <w:t xml:space="preserve"> </w:t>
      </w:r>
      <w:r w:rsidR="00266FA7" w:rsidRPr="004323D9">
        <w:rPr>
          <w:rFonts w:ascii="Times New Roman" w:eastAsia="TimesNewRomanPSMT" w:hAnsi="Times New Roman" w:cs="Times New Roman"/>
          <w:sz w:val="24"/>
          <w:szCs w:val="24"/>
        </w:rPr>
        <w:t>URL:</w:t>
      </w:r>
      <w:r w:rsidR="00DD439C" w:rsidRPr="004323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hyperlink r:id="rId16" w:history="1">
        <w:r w:rsidR="00DD439C" w:rsidRPr="004323D9"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https://agronews.ua/news/v-ukrayini-zapuskayut%CA%B9-initsiatyvu-yaka-dopomozhe-zapobihty-prodovol%CA%B9chiy-kryzi-pid-chas-viyny/</w:t>
        </w:r>
      </w:hyperlink>
    </w:p>
    <w:p w:rsidR="003F3D38" w:rsidRDefault="003F3D38" w:rsidP="003F3D38">
      <w:pPr>
        <w:pStyle w:val="a4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F3D38" w:rsidRDefault="003F3D38" w:rsidP="003F3D38">
      <w:pPr>
        <w:pStyle w:val="a4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F3D38" w:rsidRPr="002E3BC2" w:rsidRDefault="003F3D38" w:rsidP="003F3D38">
      <w:pPr>
        <w:pStyle w:val="a4"/>
        <w:spacing w:line="240" w:lineRule="auto"/>
        <w:jc w:val="both"/>
        <w:rPr>
          <w:noProof/>
          <w:lang w:val="uk-UA"/>
        </w:rPr>
      </w:pPr>
    </w:p>
    <w:p w:rsidR="003F3D38" w:rsidRDefault="003F3D38" w:rsidP="003F3D38">
      <w:pPr>
        <w:pStyle w:val="a4"/>
        <w:spacing w:line="240" w:lineRule="auto"/>
        <w:jc w:val="both"/>
        <w:rPr>
          <w:noProof/>
        </w:rPr>
      </w:pPr>
    </w:p>
    <w:p w:rsidR="00231E31" w:rsidRDefault="00231E31" w:rsidP="003F3D38">
      <w:pPr>
        <w:pStyle w:val="a4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31E31" w:rsidRDefault="00231E31" w:rsidP="003F3D38">
      <w:pPr>
        <w:pStyle w:val="a4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F3D38" w:rsidRDefault="003F3D38" w:rsidP="003F3D38">
      <w:pPr>
        <w:pStyle w:val="a4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31E31" w:rsidRPr="002E3BC2" w:rsidRDefault="00231E31" w:rsidP="002E3BC2">
      <w:p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31E31" w:rsidRDefault="00231E31" w:rsidP="003F3D38">
      <w:pPr>
        <w:pStyle w:val="a4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266DB" w:rsidRDefault="008266DB" w:rsidP="003F3D38">
      <w:pPr>
        <w:pStyle w:val="a4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266DB" w:rsidRPr="004323D9" w:rsidRDefault="008266DB" w:rsidP="003F3D38">
      <w:pPr>
        <w:pStyle w:val="a4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8266DB" w:rsidRPr="004323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249"/>
    <w:multiLevelType w:val="hybridMultilevel"/>
    <w:tmpl w:val="A43E6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10A3"/>
    <w:multiLevelType w:val="hybridMultilevel"/>
    <w:tmpl w:val="B3E01C3C"/>
    <w:lvl w:ilvl="0" w:tplc="5706F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C24BD"/>
    <w:multiLevelType w:val="multilevel"/>
    <w:tmpl w:val="26D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9141E"/>
    <w:multiLevelType w:val="hybridMultilevel"/>
    <w:tmpl w:val="6A88429C"/>
    <w:lvl w:ilvl="0" w:tplc="C226B7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E1565C"/>
    <w:multiLevelType w:val="hybridMultilevel"/>
    <w:tmpl w:val="F904CB9E"/>
    <w:lvl w:ilvl="0" w:tplc="37AE5526">
      <w:start w:val="1"/>
      <w:numFmt w:val="decimal"/>
      <w:lvlText w:val="%1."/>
      <w:lvlJc w:val="left"/>
      <w:pPr>
        <w:ind w:left="2160" w:hanging="144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6002EB"/>
    <w:multiLevelType w:val="hybridMultilevel"/>
    <w:tmpl w:val="1C7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18"/>
    <w:rsid w:val="00002938"/>
    <w:rsid w:val="00011912"/>
    <w:rsid w:val="0002505B"/>
    <w:rsid w:val="0003032B"/>
    <w:rsid w:val="00030BCB"/>
    <w:rsid w:val="000536EF"/>
    <w:rsid w:val="00063F39"/>
    <w:rsid w:val="000913BC"/>
    <w:rsid w:val="00093AD0"/>
    <w:rsid w:val="00097318"/>
    <w:rsid w:val="000A4853"/>
    <w:rsid w:val="000B23D8"/>
    <w:rsid w:val="000B6D10"/>
    <w:rsid w:val="000B6FAC"/>
    <w:rsid w:val="000C0CED"/>
    <w:rsid w:val="000C3DF5"/>
    <w:rsid w:val="000D0AD8"/>
    <w:rsid w:val="000E319F"/>
    <w:rsid w:val="000F391C"/>
    <w:rsid w:val="001009C0"/>
    <w:rsid w:val="00122633"/>
    <w:rsid w:val="00136F1A"/>
    <w:rsid w:val="00141A15"/>
    <w:rsid w:val="00142121"/>
    <w:rsid w:val="001722BC"/>
    <w:rsid w:val="00180531"/>
    <w:rsid w:val="001C1DC9"/>
    <w:rsid w:val="001C2382"/>
    <w:rsid w:val="002076C6"/>
    <w:rsid w:val="0021118B"/>
    <w:rsid w:val="0021142D"/>
    <w:rsid w:val="002165AB"/>
    <w:rsid w:val="0022131F"/>
    <w:rsid w:val="00222087"/>
    <w:rsid w:val="00224544"/>
    <w:rsid w:val="00231E31"/>
    <w:rsid w:val="00237260"/>
    <w:rsid w:val="0024568A"/>
    <w:rsid w:val="00247157"/>
    <w:rsid w:val="002578F5"/>
    <w:rsid w:val="00266FA7"/>
    <w:rsid w:val="00270DC7"/>
    <w:rsid w:val="00296228"/>
    <w:rsid w:val="002A7EE0"/>
    <w:rsid w:val="002C660E"/>
    <w:rsid w:val="002D65D4"/>
    <w:rsid w:val="002E3BC2"/>
    <w:rsid w:val="002F3D94"/>
    <w:rsid w:val="003016E8"/>
    <w:rsid w:val="003042C9"/>
    <w:rsid w:val="00346049"/>
    <w:rsid w:val="00366111"/>
    <w:rsid w:val="00376BC4"/>
    <w:rsid w:val="00387DD3"/>
    <w:rsid w:val="003A1305"/>
    <w:rsid w:val="003C5A3F"/>
    <w:rsid w:val="003D1ACF"/>
    <w:rsid w:val="003F3D38"/>
    <w:rsid w:val="00401301"/>
    <w:rsid w:val="004157CD"/>
    <w:rsid w:val="004323D9"/>
    <w:rsid w:val="00441FD9"/>
    <w:rsid w:val="004420BE"/>
    <w:rsid w:val="00456762"/>
    <w:rsid w:val="00465D5E"/>
    <w:rsid w:val="004676B9"/>
    <w:rsid w:val="00482AE0"/>
    <w:rsid w:val="0049122C"/>
    <w:rsid w:val="004B20ED"/>
    <w:rsid w:val="004B4874"/>
    <w:rsid w:val="004E022D"/>
    <w:rsid w:val="004E3833"/>
    <w:rsid w:val="00505232"/>
    <w:rsid w:val="005141CA"/>
    <w:rsid w:val="005333E3"/>
    <w:rsid w:val="0054169E"/>
    <w:rsid w:val="00555523"/>
    <w:rsid w:val="005710BC"/>
    <w:rsid w:val="005828B6"/>
    <w:rsid w:val="00582E94"/>
    <w:rsid w:val="00594473"/>
    <w:rsid w:val="005959A0"/>
    <w:rsid w:val="005A2149"/>
    <w:rsid w:val="005A7C95"/>
    <w:rsid w:val="005C73CF"/>
    <w:rsid w:val="00615BD9"/>
    <w:rsid w:val="00625512"/>
    <w:rsid w:val="0064544D"/>
    <w:rsid w:val="00653D3D"/>
    <w:rsid w:val="00666A88"/>
    <w:rsid w:val="00671204"/>
    <w:rsid w:val="00686900"/>
    <w:rsid w:val="0068744D"/>
    <w:rsid w:val="006A0D3B"/>
    <w:rsid w:val="006A62F7"/>
    <w:rsid w:val="006B2A51"/>
    <w:rsid w:val="006C466D"/>
    <w:rsid w:val="006F75C5"/>
    <w:rsid w:val="00715B3A"/>
    <w:rsid w:val="00716538"/>
    <w:rsid w:val="00724C21"/>
    <w:rsid w:val="0073323D"/>
    <w:rsid w:val="0075620A"/>
    <w:rsid w:val="00757A45"/>
    <w:rsid w:val="00757EDA"/>
    <w:rsid w:val="00763FCE"/>
    <w:rsid w:val="007752EC"/>
    <w:rsid w:val="007823E7"/>
    <w:rsid w:val="007B05B0"/>
    <w:rsid w:val="007C2335"/>
    <w:rsid w:val="007D0341"/>
    <w:rsid w:val="007D2632"/>
    <w:rsid w:val="007E5A17"/>
    <w:rsid w:val="007E7C3D"/>
    <w:rsid w:val="008037C8"/>
    <w:rsid w:val="00806943"/>
    <w:rsid w:val="008213C5"/>
    <w:rsid w:val="008238AE"/>
    <w:rsid w:val="008266DB"/>
    <w:rsid w:val="008346E6"/>
    <w:rsid w:val="00870773"/>
    <w:rsid w:val="008B0EBF"/>
    <w:rsid w:val="008B7170"/>
    <w:rsid w:val="008D377A"/>
    <w:rsid w:val="008E5B27"/>
    <w:rsid w:val="008E7542"/>
    <w:rsid w:val="008F4A5D"/>
    <w:rsid w:val="00901DF1"/>
    <w:rsid w:val="00933593"/>
    <w:rsid w:val="00934A69"/>
    <w:rsid w:val="00951630"/>
    <w:rsid w:val="00956A19"/>
    <w:rsid w:val="009900F8"/>
    <w:rsid w:val="00991328"/>
    <w:rsid w:val="00992EBE"/>
    <w:rsid w:val="009E12CF"/>
    <w:rsid w:val="00A11618"/>
    <w:rsid w:val="00A26631"/>
    <w:rsid w:val="00A37F7A"/>
    <w:rsid w:val="00A63CA8"/>
    <w:rsid w:val="00A744BB"/>
    <w:rsid w:val="00AA4A70"/>
    <w:rsid w:val="00AC0353"/>
    <w:rsid w:val="00AE7978"/>
    <w:rsid w:val="00AF47A6"/>
    <w:rsid w:val="00AF5590"/>
    <w:rsid w:val="00B019D5"/>
    <w:rsid w:val="00B12415"/>
    <w:rsid w:val="00B327ED"/>
    <w:rsid w:val="00B33E5E"/>
    <w:rsid w:val="00B3427D"/>
    <w:rsid w:val="00B42D33"/>
    <w:rsid w:val="00B44B4C"/>
    <w:rsid w:val="00B547E0"/>
    <w:rsid w:val="00B54E2A"/>
    <w:rsid w:val="00B8129E"/>
    <w:rsid w:val="00B817EE"/>
    <w:rsid w:val="00B86F51"/>
    <w:rsid w:val="00BA6606"/>
    <w:rsid w:val="00BB04D0"/>
    <w:rsid w:val="00BB73A9"/>
    <w:rsid w:val="00BD02EF"/>
    <w:rsid w:val="00BD6470"/>
    <w:rsid w:val="00BD6F76"/>
    <w:rsid w:val="00BE5F1E"/>
    <w:rsid w:val="00BF2591"/>
    <w:rsid w:val="00C0141C"/>
    <w:rsid w:val="00C342E6"/>
    <w:rsid w:val="00C4063F"/>
    <w:rsid w:val="00C419E9"/>
    <w:rsid w:val="00C52692"/>
    <w:rsid w:val="00C60B02"/>
    <w:rsid w:val="00CA5E47"/>
    <w:rsid w:val="00CD05E9"/>
    <w:rsid w:val="00CD543B"/>
    <w:rsid w:val="00CF2C5F"/>
    <w:rsid w:val="00CF30B6"/>
    <w:rsid w:val="00CF516A"/>
    <w:rsid w:val="00CF61CB"/>
    <w:rsid w:val="00CF6F87"/>
    <w:rsid w:val="00D1294C"/>
    <w:rsid w:val="00D2094D"/>
    <w:rsid w:val="00D30962"/>
    <w:rsid w:val="00D37EB4"/>
    <w:rsid w:val="00D450F8"/>
    <w:rsid w:val="00D52570"/>
    <w:rsid w:val="00D64EC5"/>
    <w:rsid w:val="00D74066"/>
    <w:rsid w:val="00D74DE8"/>
    <w:rsid w:val="00D832C5"/>
    <w:rsid w:val="00D878E4"/>
    <w:rsid w:val="00DB215B"/>
    <w:rsid w:val="00DC29A6"/>
    <w:rsid w:val="00DD439C"/>
    <w:rsid w:val="00DE2EA6"/>
    <w:rsid w:val="00DF0186"/>
    <w:rsid w:val="00DF5A91"/>
    <w:rsid w:val="00E21EDD"/>
    <w:rsid w:val="00E300A4"/>
    <w:rsid w:val="00E6108B"/>
    <w:rsid w:val="00E6366A"/>
    <w:rsid w:val="00E744FA"/>
    <w:rsid w:val="00E9111B"/>
    <w:rsid w:val="00EC2E2D"/>
    <w:rsid w:val="00EC49A6"/>
    <w:rsid w:val="00EC4E30"/>
    <w:rsid w:val="00F10CB5"/>
    <w:rsid w:val="00F52003"/>
    <w:rsid w:val="00F64BB6"/>
    <w:rsid w:val="00F7363A"/>
    <w:rsid w:val="00F77241"/>
    <w:rsid w:val="00F90749"/>
    <w:rsid w:val="00FA5BA7"/>
    <w:rsid w:val="00FC4EFD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D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2D33"/>
    <w:pPr>
      <w:ind w:left="720"/>
      <w:contextualSpacing/>
    </w:pPr>
  </w:style>
  <w:style w:type="table" w:styleId="a5">
    <w:name w:val="Table Grid"/>
    <w:basedOn w:val="a1"/>
    <w:uiPriority w:val="59"/>
    <w:rsid w:val="008D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a"/>
    <w:next w:val="a"/>
    <w:uiPriority w:val="99"/>
    <w:rsid w:val="008D377A"/>
    <w:pPr>
      <w:autoSpaceDE w:val="0"/>
      <w:autoSpaceDN w:val="0"/>
      <w:adjustRightInd w:val="0"/>
      <w:spacing w:after="0" w:line="1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5">
    <w:name w:val="Pa5"/>
    <w:basedOn w:val="a"/>
    <w:next w:val="a"/>
    <w:uiPriority w:val="99"/>
    <w:rsid w:val="008D377A"/>
    <w:pPr>
      <w:autoSpaceDE w:val="0"/>
      <w:autoSpaceDN w:val="0"/>
      <w:adjustRightInd w:val="0"/>
      <w:spacing w:after="0" w:line="1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15B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15B3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D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2D33"/>
    <w:pPr>
      <w:ind w:left="720"/>
      <w:contextualSpacing/>
    </w:pPr>
  </w:style>
  <w:style w:type="table" w:styleId="a5">
    <w:name w:val="Table Grid"/>
    <w:basedOn w:val="a1"/>
    <w:uiPriority w:val="59"/>
    <w:rsid w:val="008D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a"/>
    <w:next w:val="a"/>
    <w:uiPriority w:val="99"/>
    <w:rsid w:val="008D377A"/>
    <w:pPr>
      <w:autoSpaceDE w:val="0"/>
      <w:autoSpaceDN w:val="0"/>
      <w:adjustRightInd w:val="0"/>
      <w:spacing w:after="0" w:line="1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5">
    <w:name w:val="Pa5"/>
    <w:basedOn w:val="a"/>
    <w:next w:val="a"/>
    <w:uiPriority w:val="99"/>
    <w:rsid w:val="008D377A"/>
    <w:pPr>
      <w:autoSpaceDE w:val="0"/>
      <w:autoSpaceDN w:val="0"/>
      <w:adjustRightInd w:val="0"/>
      <w:spacing w:after="0" w:line="1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15B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15B3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ds.kse.ua/2/" TargetMode="External"/><Relationship Id="rId13" Type="http://schemas.openxmlformats.org/officeDocument/2006/relationships/hyperlink" Target="URL:http://agris.fao.org/agrissearch/search.do;jsessionid=DA20E35183CFBAFB1019F588052E6817?request_locale=ru&amp;recordID=SK20160140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pss.creatio.com/" TargetMode="External"/><Relationship Id="rId12" Type="http://schemas.openxmlformats.org/officeDocument/2006/relationships/hyperlink" Target="https://doi.org/10.1016/B978-0-08-100596-5.02914-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gronews.ua/news/v-ukrayini-zapuskayut%CA%B9-initsiatyvu-yaka-dopomozhe-zapobihty-prodovol%CA%B9chiy-kryzi-pid-chas-viyn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s://ec.europa.eu/info/food-farming-fisheries/keypolicies/common-agricultur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mu.gov.ua/news/uryad-zatverdiv-plan-iz-zabezpechennya-prodovolchoyi-bezpeki-v-umovah-voyennogo-stanu" TargetMode="External"/><Relationship Id="rId10" Type="http://schemas.openxmlformats.org/officeDocument/2006/relationships/hyperlink" Target="https://fas.org/sgp/crs/misc/RS2213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gronews.ua/news/ukrayina-goduye-400-mln-lyudej-u-sviti/" TargetMode="External"/><Relationship Id="rId14" Type="http://schemas.openxmlformats.org/officeDocument/2006/relationships/hyperlink" Target="http://www.dridu.dp.ua/vidavnictvo/2012/2012_01(12)/12ovobz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8678-4A02-4269-BD54-730DA6AE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5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150</cp:revision>
  <dcterms:created xsi:type="dcterms:W3CDTF">2022-05-02T15:18:00Z</dcterms:created>
  <dcterms:modified xsi:type="dcterms:W3CDTF">2022-06-19T18:29:00Z</dcterms:modified>
</cp:coreProperties>
</file>