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3F" w:rsidRDefault="008D113F" w:rsidP="00AB377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A24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УДК: 338.43</w:t>
      </w:r>
    </w:p>
    <w:p w:rsidR="00AB3775" w:rsidRPr="00E80C6B" w:rsidRDefault="00AB3775" w:rsidP="00AB3775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B3775" w:rsidRPr="00CA4A29" w:rsidRDefault="00AB3775" w:rsidP="00AB3775">
      <w:pPr>
        <w:pStyle w:val="a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C646B">
        <w:rPr>
          <w:rFonts w:ascii="Times New Roman" w:hAnsi="Times New Roman"/>
          <w:b/>
          <w:sz w:val="24"/>
          <w:szCs w:val="24"/>
          <w:lang w:val="ru-RU"/>
        </w:rPr>
        <w:t>Людмила Артеменко</w:t>
      </w:r>
      <w:bookmarkStart w:id="0" w:name="_GoBack"/>
      <w:bookmarkEnd w:id="0"/>
    </w:p>
    <w:p w:rsidR="00AB3775" w:rsidRPr="00EC646B" w:rsidRDefault="00AB3775" w:rsidP="00AB3775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кандидат економічних наук, доцент </w:t>
      </w:r>
    </w:p>
    <w:p w:rsidR="00AB3775" w:rsidRPr="00EC646B" w:rsidRDefault="00AB3775" w:rsidP="00AB3775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доцент кафедри економіки та фінансів </w:t>
      </w:r>
    </w:p>
    <w:p w:rsidR="00AB3775" w:rsidRPr="00EC646B" w:rsidRDefault="00AB3775" w:rsidP="00AB3775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Тернопільський національний технічний університет імені Івана Пулюя </w:t>
      </w:r>
    </w:p>
    <w:p w:rsidR="00AB3775" w:rsidRDefault="00AB3775" w:rsidP="00AB377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>м</w:t>
      </w:r>
      <w:r w:rsidRPr="005454A0">
        <w:rPr>
          <w:rFonts w:ascii="Times New Roman" w:hAnsi="Times New Roman"/>
          <w:sz w:val="24"/>
          <w:szCs w:val="24"/>
        </w:rPr>
        <w:t xml:space="preserve">. </w:t>
      </w:r>
      <w:r w:rsidRPr="00EC646B">
        <w:rPr>
          <w:rFonts w:ascii="Times New Roman" w:hAnsi="Times New Roman"/>
          <w:sz w:val="24"/>
          <w:szCs w:val="24"/>
          <w:lang w:val="ru-RU"/>
        </w:rPr>
        <w:t>Тернопіль</w:t>
      </w:r>
      <w:r w:rsidRPr="005454A0">
        <w:rPr>
          <w:rFonts w:ascii="Times New Roman" w:hAnsi="Times New Roman"/>
          <w:sz w:val="24"/>
          <w:szCs w:val="24"/>
        </w:rPr>
        <w:t xml:space="preserve">, </w:t>
      </w:r>
      <w:r w:rsidRPr="00EC646B">
        <w:rPr>
          <w:rFonts w:ascii="Times New Roman" w:hAnsi="Times New Roman"/>
          <w:sz w:val="24"/>
          <w:szCs w:val="24"/>
          <w:lang w:val="ru-RU"/>
        </w:rPr>
        <w:t>Україна</w:t>
      </w:r>
    </w:p>
    <w:p w:rsidR="00AB3775" w:rsidRDefault="00AB3775" w:rsidP="00AB377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Liudmyla Artemenko</w:t>
      </w:r>
    </w:p>
    <w:p w:rsidR="00AB3775" w:rsidRDefault="00AB3775" w:rsidP="00AB37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PhD (Economics), Associate Professor</w:t>
      </w:r>
    </w:p>
    <w:p w:rsidR="00AB3775" w:rsidRDefault="00AB3775" w:rsidP="00AB3775">
      <w:pPr>
        <w:pStyle w:val="Default"/>
        <w:jc w:val="right"/>
      </w:pPr>
      <w:r>
        <w:rPr>
          <w:sz w:val="23"/>
          <w:szCs w:val="23"/>
        </w:rPr>
        <w:t xml:space="preserve">Associate Professor </w:t>
      </w:r>
      <w:r w:rsidRPr="009C593E">
        <w:t xml:space="preserve">of </w:t>
      </w:r>
      <w:r>
        <w:t xml:space="preserve">the </w:t>
      </w:r>
      <w:r w:rsidRPr="009C593E">
        <w:t>Economics and Finance Department</w:t>
      </w:r>
    </w:p>
    <w:p w:rsidR="00AB3775" w:rsidRDefault="00AB3775" w:rsidP="00AB37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Ternopil Ivan Puluj National Technical University</w:t>
      </w:r>
    </w:p>
    <w:p w:rsidR="00AB3775" w:rsidRPr="00AB3775" w:rsidRDefault="00AB3775" w:rsidP="00AB3775">
      <w:pPr>
        <w:pStyle w:val="Default"/>
        <w:jc w:val="right"/>
        <w:rPr>
          <w:lang w:val="uk-UA"/>
        </w:rPr>
      </w:pPr>
      <w:r w:rsidRPr="00852322">
        <w:t>Ternopil</w:t>
      </w:r>
      <w:r w:rsidRPr="00852322">
        <w:rPr>
          <w:lang w:val="uk-UA"/>
        </w:rPr>
        <w:t>,</w:t>
      </w:r>
      <w:r>
        <w:rPr>
          <w:lang w:val="uk-UA"/>
        </w:rPr>
        <w:t xml:space="preserve"> </w:t>
      </w:r>
      <w:r w:rsidRPr="00852322">
        <w:t>Ukraine</w:t>
      </w:r>
    </w:p>
    <w:p w:rsidR="00E84772" w:rsidRDefault="00E84772" w:rsidP="00AB37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463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ЄВРОПЕЙСЬКИЙ ДОСВІД ДЕРЖАВНОГО РЕГУЛЮВАННЯ ЗАБЕЗПЕЧЕННЯ ПРОДОВОЛЬЧОЇ БЕЗПЕКИ </w:t>
      </w:r>
    </w:p>
    <w:p w:rsidR="00E80C6B" w:rsidRPr="00E80C6B" w:rsidRDefault="00E80C6B" w:rsidP="00E80C6B">
      <w:pPr>
        <w:pStyle w:val="a6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E80C6B" w:rsidRDefault="00E80C6B" w:rsidP="00AB377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EUROPEN EXPERIENCE ON GOVERNMENT REGULATION TO ENSURE </w:t>
      </w:r>
    </w:p>
    <w:p w:rsidR="00E80C6B" w:rsidRPr="00E80C6B" w:rsidRDefault="00E80C6B" w:rsidP="00AB3775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FOOD</w:t>
      </w:r>
      <w:r w:rsidRPr="00E80C6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SAFETY</w:t>
      </w:r>
    </w:p>
    <w:p w:rsidR="00F56A75" w:rsidRPr="00F56A75" w:rsidRDefault="00F56A75" w:rsidP="00AB3775">
      <w:pPr>
        <w:pStyle w:val="Default"/>
        <w:jc w:val="right"/>
        <w:rPr>
          <w:lang w:val="uk-UA"/>
        </w:rPr>
      </w:pPr>
    </w:p>
    <w:p w:rsidR="00E84772" w:rsidRPr="000F68CE" w:rsidRDefault="00AB3775" w:rsidP="00AB377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732" w:rsidRPr="00D975AB">
        <w:rPr>
          <w:rFonts w:ascii="Times New Roman" w:hAnsi="Times New Roman" w:cs="Times New Roman"/>
          <w:sz w:val="24"/>
          <w:szCs w:val="24"/>
          <w:lang w:val="uk-UA"/>
        </w:rPr>
        <w:t>За умов глобалізації п</w:t>
      </w:r>
      <w:r w:rsidR="008D113F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итання </w:t>
      </w:r>
      <w:r w:rsidR="00240CF9" w:rsidRPr="00D975AB">
        <w:rPr>
          <w:rFonts w:ascii="Times New Roman" w:hAnsi="Times New Roman" w:cs="Times New Roman"/>
          <w:sz w:val="24"/>
          <w:szCs w:val="24"/>
          <w:lang w:val="uk-UA"/>
        </w:rPr>
        <w:t>продовольчого забезпечення</w:t>
      </w:r>
      <w:r w:rsidR="009551C2" w:rsidRPr="00D975A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40CF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1C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як генеральної цілі аграрної політики, </w:t>
      </w:r>
      <w:r w:rsidR="008D113F" w:rsidRPr="00D975AB">
        <w:rPr>
          <w:rFonts w:ascii="Times New Roman" w:hAnsi="Times New Roman" w:cs="Times New Roman"/>
          <w:sz w:val="24"/>
          <w:szCs w:val="24"/>
          <w:lang w:val="uk-UA"/>
        </w:rPr>
        <w:t>залишаються завжди</w:t>
      </w:r>
      <w:r w:rsidR="00B10682">
        <w:rPr>
          <w:rFonts w:ascii="Times New Roman" w:hAnsi="Times New Roman" w:cs="Times New Roman"/>
          <w:sz w:val="24"/>
          <w:szCs w:val="24"/>
          <w:lang w:val="uk-UA"/>
        </w:rPr>
        <w:t xml:space="preserve"> актуальними, особливо із позиції</w:t>
      </w:r>
      <w:r w:rsidR="008D113F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77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системи </w:t>
      </w:r>
      <w:r w:rsidR="004760FC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</w:t>
      </w:r>
      <w:r w:rsidR="00240CF9" w:rsidRPr="00D975A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D113F" w:rsidRPr="00D975AB">
        <w:rPr>
          <w:rFonts w:ascii="Times New Roman" w:hAnsi="Times New Roman" w:cs="Times New Roman"/>
          <w:sz w:val="24"/>
          <w:szCs w:val="24"/>
          <w:lang w:val="uk-UA"/>
        </w:rPr>
        <w:t>помоги</w:t>
      </w:r>
      <w:r w:rsidR="009551C2" w:rsidRPr="00D975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417C4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49C">
        <w:rPr>
          <w:rFonts w:ascii="Times New Roman" w:hAnsi="Times New Roman" w:cs="Times New Roman"/>
          <w:sz w:val="24"/>
          <w:szCs w:val="24"/>
          <w:lang w:val="uk-UA"/>
        </w:rPr>
        <w:t>Європейські</w:t>
      </w:r>
      <w:r w:rsidR="00DA249C" w:rsidRPr="00DA249C">
        <w:rPr>
          <w:rFonts w:ascii="Times New Roman" w:hAnsi="Times New Roman" w:cs="Times New Roman"/>
          <w:sz w:val="24"/>
          <w:szCs w:val="24"/>
          <w:lang w:val="uk-UA"/>
        </w:rPr>
        <w:t xml:space="preserve"> кр</w:t>
      </w:r>
      <w:r w:rsidR="00DA249C">
        <w:rPr>
          <w:rFonts w:ascii="Times New Roman" w:hAnsi="Times New Roman" w:cs="Times New Roman"/>
          <w:sz w:val="24"/>
          <w:szCs w:val="24"/>
          <w:lang w:val="uk-UA"/>
        </w:rPr>
        <w:t>аїни</w:t>
      </w:r>
      <w:r w:rsidR="002966D8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</w:t>
      </w:r>
      <w:r w:rsidR="009B3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7F1">
        <w:rPr>
          <w:rFonts w:ascii="Times New Roman" w:hAnsi="Times New Roman" w:cs="Times New Roman"/>
          <w:sz w:val="24"/>
          <w:szCs w:val="24"/>
          <w:lang w:val="uk-UA"/>
        </w:rPr>
        <w:t>комплекс заходів, спрямованих на підвищення</w:t>
      </w:r>
      <w:r w:rsidR="009B3A98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 та стійкості націон</w:t>
      </w:r>
      <w:r w:rsidR="004437F1">
        <w:rPr>
          <w:rFonts w:ascii="Times New Roman" w:hAnsi="Times New Roman" w:cs="Times New Roman"/>
          <w:sz w:val="24"/>
          <w:szCs w:val="24"/>
          <w:lang w:val="uk-UA"/>
        </w:rPr>
        <w:t>ального сільського господарства</w:t>
      </w:r>
      <w:r w:rsidR="009B3A98">
        <w:rPr>
          <w:rFonts w:ascii="MinionPro-Regular" w:hAnsi="MinionPro-Regular" w:cs="MinionPro-Regular"/>
          <w:sz w:val="21"/>
          <w:szCs w:val="21"/>
          <w:lang w:val="ru-RU"/>
        </w:rPr>
        <w:t xml:space="preserve">. </w:t>
      </w:r>
      <w:r w:rsidR="00DA249C">
        <w:rPr>
          <w:rFonts w:ascii="Times New Roman" w:hAnsi="Times New Roman" w:cs="Times New Roman"/>
          <w:sz w:val="24"/>
          <w:szCs w:val="24"/>
          <w:lang w:val="uk-UA"/>
        </w:rPr>
        <w:t>Тому п</w:t>
      </w:r>
      <w:r w:rsidR="00E8477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орівняльний аналіз рівня </w:t>
      </w:r>
      <w:r w:rsidR="00017FF5">
        <w:rPr>
          <w:rFonts w:ascii="Times New Roman" w:hAnsi="Times New Roman" w:cs="Times New Roman"/>
          <w:sz w:val="24"/>
          <w:szCs w:val="24"/>
          <w:lang w:val="uk-UA"/>
        </w:rPr>
        <w:t xml:space="preserve">їх урядової </w:t>
      </w:r>
      <w:r w:rsidR="00D03899" w:rsidRPr="00D975AB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="00017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77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має слугувати орієнтиром механізму підвищення конкурентоспроможності продовольства в Україні. </w:t>
      </w:r>
    </w:p>
    <w:p w:rsidR="005F4F1C" w:rsidRPr="00D975AB" w:rsidRDefault="005F4F1C" w:rsidP="00AB3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49C">
        <w:rPr>
          <w:rFonts w:ascii="Times New Roman" w:hAnsi="Times New Roman" w:cs="Times New Roman"/>
          <w:sz w:val="24"/>
          <w:szCs w:val="24"/>
          <w:lang w:val="uk-UA"/>
        </w:rPr>
        <w:t>На ду</w:t>
      </w:r>
      <w:r w:rsidR="007B4F39" w:rsidRPr="00DA249C">
        <w:rPr>
          <w:rFonts w:ascii="Times New Roman" w:hAnsi="Times New Roman" w:cs="Times New Roman"/>
          <w:sz w:val="24"/>
          <w:szCs w:val="24"/>
          <w:lang w:val="uk-UA"/>
        </w:rPr>
        <w:t xml:space="preserve">мку А. Мостової,  </w:t>
      </w:r>
      <w:r w:rsidRPr="00DA249C">
        <w:rPr>
          <w:rFonts w:ascii="Times New Roman" w:hAnsi="Times New Roman" w:cs="Times New Roman"/>
          <w:sz w:val="24"/>
          <w:szCs w:val="24"/>
          <w:lang w:val="uk-UA"/>
        </w:rPr>
        <w:t xml:space="preserve">у процесі реформування системи господарювання </w:t>
      </w:r>
      <w:r w:rsidR="007B4F39" w:rsidRPr="00DA249C">
        <w:rPr>
          <w:rFonts w:ascii="Times New Roman" w:hAnsi="Times New Roman" w:cs="Times New Roman"/>
          <w:sz w:val="24"/>
          <w:szCs w:val="24"/>
          <w:lang w:val="uk-UA"/>
        </w:rPr>
        <w:t xml:space="preserve">нашої країни </w:t>
      </w:r>
      <w:r w:rsidRPr="00DA249C">
        <w:rPr>
          <w:rFonts w:ascii="Times New Roman" w:hAnsi="Times New Roman" w:cs="Times New Roman"/>
          <w:sz w:val="24"/>
          <w:szCs w:val="24"/>
          <w:lang w:val="uk-UA"/>
        </w:rPr>
        <w:t>було реконструйовано державний ме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ханізм забезпечення населення продовольством, але </w:t>
      </w:r>
      <w:r w:rsidR="007B4F3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стратегічної концепції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вирі</w:t>
      </w:r>
      <w:r w:rsidR="000B5259" w:rsidRPr="00D975AB">
        <w:rPr>
          <w:rFonts w:ascii="Times New Roman" w:hAnsi="Times New Roman" w:cs="Times New Roman"/>
          <w:sz w:val="24"/>
          <w:szCs w:val="24"/>
          <w:lang w:val="ru-RU"/>
        </w:rPr>
        <w:t>шення цього питання</w:t>
      </w:r>
      <w:r w:rsidR="00D0389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не було сформовано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75AB">
        <w:rPr>
          <w:rFonts w:ascii="Times New Roman" w:hAnsi="Times New Roman" w:cs="Times New Roman"/>
          <w:sz w:val="24"/>
          <w:szCs w:val="24"/>
        </w:rPr>
        <w:t>c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5259" w:rsidRPr="00D975AB">
        <w:rPr>
          <w:rFonts w:ascii="Times New Roman" w:hAnsi="Times New Roman" w:cs="Times New Roman"/>
          <w:sz w:val="24"/>
          <w:szCs w:val="24"/>
          <w:lang w:val="ru-RU"/>
        </w:rPr>
        <w:t>319].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Тому виникає потреба дослідження та систематизації зарубіжного досвіду, в першу чергу європейського, </w:t>
      </w:r>
      <w:r w:rsidR="00DC29C2" w:rsidRPr="00D975AB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E76F53">
        <w:rPr>
          <w:rFonts w:ascii="Times New Roman" w:hAnsi="Times New Roman" w:cs="Times New Roman"/>
          <w:sz w:val="24"/>
          <w:szCs w:val="24"/>
          <w:lang w:val="ru-RU"/>
        </w:rPr>
        <w:t xml:space="preserve"> головним напрямом</w:t>
      </w:r>
      <w:r w:rsidR="00AA7C2E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євроінтеграційних процесів</w:t>
      </w:r>
      <w:r w:rsidR="005F3C1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525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України </w:t>
      </w:r>
      <w:r w:rsidR="009D4664" w:rsidRPr="00D975AB">
        <w:rPr>
          <w:rFonts w:ascii="Times New Roman" w:hAnsi="Times New Roman" w:cs="Times New Roman"/>
          <w:sz w:val="24"/>
          <w:szCs w:val="24"/>
          <w:lang w:val="ru-RU"/>
        </w:rPr>
        <w:t>є</w:t>
      </w:r>
      <w:r w:rsidR="00E76F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F53" w:rsidRPr="00E76F53">
        <w:rPr>
          <w:rFonts w:ascii="Times New Roman" w:hAnsi="Times New Roman" w:cs="Times New Roman"/>
          <w:sz w:val="24"/>
          <w:szCs w:val="24"/>
          <w:lang w:val="uk-UA"/>
        </w:rPr>
        <w:t>агроринок</w:t>
      </w:r>
      <w:r w:rsidR="00E76F53">
        <w:rPr>
          <w:rFonts w:ascii="Times New Roman" w:hAnsi="Times New Roman" w:cs="Times New Roman"/>
          <w:sz w:val="24"/>
          <w:szCs w:val="24"/>
          <w:lang w:val="ru-RU"/>
        </w:rPr>
        <w:t>, який</w:t>
      </w:r>
      <w:r w:rsidR="00360BE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виступає основним</w:t>
      </w:r>
      <w:r w:rsidR="001426AB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</w:t>
      </w:r>
      <w:r w:rsidR="007B4F39" w:rsidRPr="00D975A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5F3C1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продовольчого ринку. </w:t>
      </w:r>
    </w:p>
    <w:p w:rsidR="00973DD5" w:rsidRPr="00D975AB" w:rsidRDefault="001426AB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4143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F0AF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1C" w:rsidRPr="00D975AB">
        <w:rPr>
          <w:rFonts w:ascii="Times New Roman" w:hAnsi="Times New Roman" w:cs="Times New Roman"/>
          <w:sz w:val="24"/>
          <w:szCs w:val="24"/>
          <w:lang w:val="ru-RU"/>
        </w:rPr>
        <w:t>Країни ЄС вирішують питання державного регулювання та фінансової підтримки сільського госпо</w:t>
      </w:r>
      <w:r w:rsidR="0035693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дарства  за допомогою заходів  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r w:rsidR="00356934" w:rsidRPr="00D975AB">
        <w:rPr>
          <w:rFonts w:ascii="Times New Roman" w:hAnsi="Times New Roman" w:cs="Times New Roman"/>
          <w:sz w:val="24"/>
          <w:szCs w:val="24"/>
          <w:lang w:val="ru-RU"/>
        </w:rPr>
        <w:t>національного  рівня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, так і </w:t>
      </w:r>
      <w:r w:rsidR="005F3C1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шляхом реалізації управлінських рішень в межах єдиної загальнонаціональної агропродовольчої політики </w:t>
      </w:r>
      <w:r w:rsidR="005F3C1C" w:rsidRPr="00D975AB">
        <w:rPr>
          <w:rFonts w:ascii="Times New Roman" w:hAnsi="Times New Roman" w:cs="Times New Roman"/>
          <w:sz w:val="24"/>
          <w:szCs w:val="24"/>
          <w:lang w:val="uk-UA"/>
        </w:rPr>
        <w:t>Євросоюзу</w:t>
      </w:r>
      <w:r w:rsidR="005F3C1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. Бюджет 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r w:rsidR="006B5125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політики формується із двох джерел: </w:t>
      </w:r>
      <w:r w:rsidR="006B5125" w:rsidRPr="00D975AB">
        <w:rPr>
          <w:rFonts w:ascii="Times New Roman" w:hAnsi="Times New Roman" w:cs="Times New Roman"/>
          <w:sz w:val="24"/>
          <w:szCs w:val="24"/>
          <w:lang w:val="uk-UA"/>
        </w:rPr>
        <w:t>Європейського</w:t>
      </w:r>
      <w:r w:rsidR="006B5125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аграрного фонду гарантування  (</w:t>
      </w:r>
      <w:r w:rsidR="006B5125" w:rsidRPr="00D975AB">
        <w:rPr>
          <w:rFonts w:ascii="Times New Roman" w:hAnsi="Times New Roman" w:cs="Times New Roman"/>
          <w:sz w:val="24"/>
          <w:szCs w:val="24"/>
        </w:rPr>
        <w:t>EFRG</w:t>
      </w:r>
      <w:r w:rsidR="006B5125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та Європейського  </w:t>
      </w:r>
      <w:r w:rsidR="002C7CD3" w:rsidRPr="00D975AB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фонду розвитку </w:t>
      </w:r>
      <w:r w:rsidR="002C7CD3" w:rsidRPr="00D975AB">
        <w:rPr>
          <w:rFonts w:ascii="Times New Roman" w:hAnsi="Times New Roman" w:cs="Times New Roman"/>
          <w:sz w:val="24"/>
          <w:szCs w:val="24"/>
          <w:lang w:val="uk-UA"/>
        </w:rPr>
        <w:t>сільських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  <w:lang w:val="uk-UA"/>
        </w:rPr>
        <w:t>територій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="002C7CD3" w:rsidRPr="00D975AB">
        <w:rPr>
          <w:rFonts w:ascii="Times New Roman" w:hAnsi="Times New Roman" w:cs="Times New Roman"/>
          <w:sz w:val="24"/>
          <w:szCs w:val="24"/>
        </w:rPr>
        <w:t>European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</w:rPr>
        <w:t>Agricultural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</w:rPr>
        <w:t>Fund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</w:rPr>
        <w:t>for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</w:rPr>
        <w:t>Rural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</w:rPr>
        <w:t>Development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C7CD3" w:rsidRPr="00D975AB">
        <w:rPr>
          <w:rFonts w:ascii="Times New Roman" w:hAnsi="Times New Roman" w:cs="Times New Roman"/>
          <w:sz w:val="24"/>
          <w:szCs w:val="24"/>
        </w:rPr>
        <w:t>EAFRD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). На </w:t>
      </w:r>
      <w:r w:rsidR="00180631" w:rsidRPr="00D975AB">
        <w:rPr>
          <w:rFonts w:ascii="Times New Roman" w:hAnsi="Times New Roman" w:cs="Times New Roman"/>
          <w:sz w:val="24"/>
          <w:szCs w:val="24"/>
          <w:lang w:val="uk-UA"/>
        </w:rPr>
        <w:t>реалізацію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10E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>програм в 2014–2020 рр.</w:t>
      </w:r>
      <w:r w:rsidR="004D046A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уло виділено </w:t>
      </w:r>
      <w:r w:rsidR="004D046A" w:rsidRPr="00D975AB">
        <w:rPr>
          <w:rFonts w:ascii="Times New Roman" w:hAnsi="Times New Roman" w:cs="Times New Roman"/>
          <w:sz w:val="24"/>
          <w:szCs w:val="24"/>
          <w:lang w:val="ru-RU"/>
        </w:rPr>
        <w:t>100 млрд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046A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CD3" w:rsidRPr="00D975AB">
        <w:rPr>
          <w:rFonts w:ascii="Times New Roman" w:hAnsi="Times New Roman" w:cs="Times New Roman"/>
          <w:sz w:val="24"/>
          <w:szCs w:val="24"/>
          <w:lang w:val="ru-RU"/>
        </w:rPr>
        <w:t>євро.</w:t>
      </w:r>
      <w:r w:rsidR="004D046A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F53">
        <w:rPr>
          <w:rFonts w:ascii="Times New Roman" w:hAnsi="Times New Roman" w:cs="Times New Roman"/>
          <w:sz w:val="24"/>
          <w:szCs w:val="24"/>
          <w:lang w:val="ru-RU"/>
        </w:rPr>
        <w:t xml:space="preserve">Фінансові </w:t>
      </w:r>
      <w:r w:rsidR="00E76F53" w:rsidRPr="00E76F53">
        <w:rPr>
          <w:rFonts w:ascii="Times New Roman" w:hAnsi="Times New Roman" w:cs="Times New Roman"/>
          <w:sz w:val="24"/>
          <w:szCs w:val="24"/>
          <w:lang w:val="uk-UA"/>
        </w:rPr>
        <w:t>поступлення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180631" w:rsidRPr="00D975AB">
        <w:rPr>
          <w:rFonts w:ascii="Times New Roman" w:hAnsi="Times New Roman" w:cs="Times New Roman"/>
          <w:sz w:val="24"/>
          <w:szCs w:val="24"/>
          <w:lang w:val="uk-UA"/>
        </w:rPr>
        <w:t>консолідований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бюджет </w:t>
      </w:r>
      <w:r w:rsidR="000B5259" w:rsidRPr="00D975AB">
        <w:rPr>
          <w:rFonts w:ascii="Times New Roman" w:hAnsi="Times New Roman" w:cs="Times New Roman"/>
          <w:sz w:val="24"/>
          <w:szCs w:val="24"/>
          <w:lang w:val="uk-UA"/>
        </w:rPr>
        <w:t>надходять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180631" w:rsidRPr="00D975AB">
        <w:rPr>
          <w:rFonts w:ascii="Times New Roman" w:hAnsi="Times New Roman" w:cs="Times New Roman"/>
          <w:sz w:val="24"/>
          <w:szCs w:val="24"/>
          <w:lang w:val="uk-UA"/>
        </w:rPr>
        <w:t>вигляді</w:t>
      </w:r>
      <w:r w:rsidR="006E63CA" w:rsidRPr="00D975A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прямих </w:t>
      </w:r>
      <w:r w:rsidR="00180631" w:rsidRPr="00D975AB">
        <w:rPr>
          <w:rFonts w:ascii="Times New Roman" w:hAnsi="Times New Roman" w:cs="Times New Roman"/>
          <w:sz w:val="24"/>
          <w:szCs w:val="24"/>
          <w:lang w:val="uk-UA"/>
        </w:rPr>
        <w:t>бюджетних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631" w:rsidRPr="00D975AB">
        <w:rPr>
          <w:rFonts w:ascii="Times New Roman" w:hAnsi="Times New Roman" w:cs="Times New Roman"/>
          <w:sz w:val="24"/>
          <w:szCs w:val="24"/>
          <w:lang w:val="uk-UA"/>
        </w:rPr>
        <w:t>внесків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країн ЄС (0, 73 % </w:t>
      </w:r>
      <w:r w:rsidR="00E6110E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коштів 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>бюджету кожної</w:t>
      </w:r>
      <w:r w:rsidR="00915BA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країни);</w:t>
      </w:r>
      <w:r w:rsidR="006E63CA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BA2" w:rsidRPr="00D975AB">
        <w:rPr>
          <w:rFonts w:ascii="Times New Roman" w:hAnsi="Times New Roman" w:cs="Times New Roman"/>
          <w:sz w:val="24"/>
          <w:szCs w:val="24"/>
          <w:lang w:val="ru-RU"/>
        </w:rPr>
        <w:t>частини непрямих податків (0</w:t>
      </w:r>
      <w:r w:rsidR="00E6110E" w:rsidRPr="00D975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63CA" w:rsidRPr="00D975AB">
        <w:rPr>
          <w:rFonts w:ascii="Times New Roman" w:hAnsi="Times New Roman" w:cs="Times New Roman"/>
          <w:sz w:val="24"/>
          <w:szCs w:val="24"/>
          <w:lang w:val="ru-RU"/>
        </w:rPr>
        <w:t>75 % від ПДВ кожної країни);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митних податків та імпортних зборів</w:t>
      </w:r>
      <w:r w:rsidR="00BC140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. Разом із цим сукупні бюджетні </w:t>
      </w:r>
      <w:r w:rsidR="00180631" w:rsidRPr="00D975AB">
        <w:rPr>
          <w:rFonts w:ascii="Times New Roman" w:hAnsi="Times New Roman" w:cs="Times New Roman"/>
          <w:sz w:val="24"/>
          <w:szCs w:val="24"/>
          <w:lang w:val="ru-RU"/>
        </w:rPr>
        <w:t>внески не перевищують 1, 24%  вартості ВВП країн-членів ЄС [2, с. 264].</w:t>
      </w:r>
    </w:p>
    <w:p w:rsidR="004D1800" w:rsidRPr="00D975AB" w:rsidRDefault="00E249A8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F0A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1B6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Загалом державна підтримка  </w:t>
      </w:r>
      <w:r w:rsidR="005C1B61" w:rsidRPr="00D975AB">
        <w:rPr>
          <w:rFonts w:ascii="Times New Roman" w:hAnsi="Times New Roman" w:cs="Times New Roman"/>
          <w:sz w:val="24"/>
          <w:szCs w:val="24"/>
          <w:lang w:val="uk-UA"/>
        </w:rPr>
        <w:t>сільських</w:t>
      </w:r>
      <w:r w:rsidR="005C1B6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товаровиробників становить приблизно 35, 0 % у вартості сільгоспродукції Євросоюзу, а в розрахунку на 1 гектар угідь – 800 доларів США </w:t>
      </w:r>
      <w:r w:rsidR="00505D70" w:rsidRPr="00D975AB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5C1B61" w:rsidRPr="00D975AB">
        <w:rPr>
          <w:rFonts w:ascii="Times New Roman" w:hAnsi="Times New Roman" w:cs="Times New Roman"/>
          <w:sz w:val="24"/>
          <w:szCs w:val="24"/>
          <w:lang w:val="ru-RU"/>
        </w:rPr>
        <w:t>, с. 263]</w:t>
      </w:r>
      <w:r w:rsidR="00505D70"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6F5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E76F53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ідерами </w:t>
      </w:r>
      <w:r w:rsidR="00E76F5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C0F7B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еред </w:t>
      </w:r>
      <w:r w:rsidR="00563314" w:rsidRPr="00D975AB">
        <w:rPr>
          <w:rFonts w:ascii="Times New Roman" w:hAnsi="Times New Roman" w:cs="Times New Roman"/>
          <w:sz w:val="24"/>
          <w:szCs w:val="24"/>
          <w:lang w:val="uk-UA"/>
        </w:rPr>
        <w:t>пріоритетних</w:t>
      </w:r>
      <w:r w:rsidR="003C0F7B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 </w:t>
      </w:r>
      <w:r w:rsidR="003C0F7B" w:rsidRPr="00E76F53">
        <w:rPr>
          <w:rFonts w:ascii="Times New Roman" w:hAnsi="Times New Roman" w:cs="Times New Roman"/>
          <w:sz w:val="24"/>
          <w:szCs w:val="24"/>
          <w:lang w:val="uk-UA"/>
        </w:rPr>
        <w:t>агропродовольчої</w:t>
      </w:r>
      <w:r w:rsidR="00E76F53">
        <w:rPr>
          <w:rFonts w:ascii="Times New Roman" w:hAnsi="Times New Roman" w:cs="Times New Roman"/>
          <w:sz w:val="24"/>
          <w:szCs w:val="24"/>
          <w:lang w:val="uk-UA"/>
        </w:rPr>
        <w:t xml:space="preserve"> політики країн ЄС </w:t>
      </w:r>
      <w:r w:rsidR="00563314" w:rsidRPr="00D975AB">
        <w:rPr>
          <w:rFonts w:ascii="Times New Roman" w:hAnsi="Times New Roman" w:cs="Times New Roman"/>
          <w:sz w:val="24"/>
          <w:szCs w:val="24"/>
          <w:lang w:val="uk-UA"/>
        </w:rPr>
        <w:t>є імпортозаміщення та стимулювання внутрішнього</w:t>
      </w:r>
      <w:r w:rsidR="00BA728A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попиту на вітчизняні</w:t>
      </w:r>
      <w:r w:rsidR="0014143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3314" w:rsidRPr="00D975AB">
        <w:rPr>
          <w:rFonts w:ascii="Times New Roman" w:hAnsi="Times New Roman" w:cs="Times New Roman"/>
          <w:sz w:val="24"/>
          <w:szCs w:val="24"/>
          <w:lang w:val="uk-UA"/>
        </w:rPr>
        <w:t>продукти</w:t>
      </w:r>
      <w:r w:rsidR="0014143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3314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З метою обмеження імпорту </w:t>
      </w:r>
      <w:r w:rsidR="00360BE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в країнах </w:t>
      </w:r>
      <w:r w:rsidR="00625818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застосовується своєрідна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зовнішньоекономічна модель, суть якої полягає в тому, що на </w:t>
      </w:r>
      <w:r w:rsidR="00A54CAF" w:rsidRPr="00D975AB">
        <w:rPr>
          <w:rFonts w:ascii="Times New Roman" w:hAnsi="Times New Roman" w:cs="Times New Roman"/>
          <w:sz w:val="24"/>
          <w:szCs w:val="24"/>
          <w:lang w:val="uk-UA"/>
        </w:rPr>
        <w:t>між кордонному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просторі з деяких груп товарів стягуються компенсаційні збори. Їх розміри корелю</w:t>
      </w:r>
      <w:r w:rsidR="00625818" w:rsidRPr="00D975AB">
        <w:rPr>
          <w:rFonts w:ascii="Times New Roman" w:hAnsi="Times New Roman" w:cs="Times New Roman"/>
          <w:sz w:val="24"/>
          <w:szCs w:val="24"/>
          <w:lang w:val="uk-UA"/>
        </w:rPr>
        <w:t>ються таким чином,  що сума ціни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імпортованих товарів і 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компенсаційних </w:t>
      </w:r>
      <w:r w:rsidR="00E84BCE" w:rsidRPr="00D975AB">
        <w:rPr>
          <w:rFonts w:ascii="Times New Roman" w:hAnsi="Times New Roman" w:cs="Times New Roman"/>
          <w:sz w:val="24"/>
          <w:szCs w:val="24"/>
          <w:lang w:val="uk-UA"/>
        </w:rPr>
        <w:t>зборів зрівнює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t>ться з ціною внутрішнього ринку</w:t>
      </w:r>
      <w:r w:rsidR="00E84BCE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A" w:rsidRPr="00D975AB">
        <w:rPr>
          <w:rFonts w:ascii="Times New Roman" w:hAnsi="Times New Roman" w:cs="Times New Roman"/>
          <w:sz w:val="24"/>
          <w:szCs w:val="24"/>
          <w:lang w:val="uk-UA"/>
        </w:rPr>
        <w:t>[3</w:t>
      </w:r>
      <w:r w:rsidR="005C32C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E84BCE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Окрім того, </w:t>
      </w:r>
      <w:r w:rsidR="00746B97" w:rsidRPr="00D975AB">
        <w:rPr>
          <w:rFonts w:ascii="Times New Roman" w:hAnsi="Times New Roman" w:cs="Times New Roman"/>
          <w:sz w:val="24"/>
          <w:szCs w:val="24"/>
          <w:lang w:val="uk-UA"/>
        </w:rPr>
        <w:t>такий</w:t>
      </w:r>
      <w:r w:rsidR="00E84BCE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механізм досить гнучкий (розмір  визначається як різниця св</w:t>
      </w:r>
      <w:r w:rsidR="00746B97" w:rsidRPr="00D975AB">
        <w:rPr>
          <w:rFonts w:ascii="Times New Roman" w:hAnsi="Times New Roman" w:cs="Times New Roman"/>
          <w:sz w:val="24"/>
          <w:szCs w:val="24"/>
          <w:lang w:val="uk-UA"/>
        </w:rPr>
        <w:t>ітової і внутрішньої ціни)</w:t>
      </w:r>
      <w:r w:rsidR="00AA7C2E" w:rsidRPr="00D975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6B9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>При експорті продукції, товаровиробники отримують</w:t>
      </w:r>
      <w:r w:rsidR="004437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724" w:rsidRPr="00D975AB">
        <w:rPr>
          <w:rFonts w:ascii="Times New Roman" w:hAnsi="Times New Roman" w:cs="Times New Roman"/>
          <w:sz w:val="24"/>
          <w:szCs w:val="24"/>
          <w:lang w:val="ru-RU"/>
        </w:rPr>
        <w:t>субсидії, які дозволяють їм конкурувати на світових ринках.</w:t>
      </w:r>
      <w:r w:rsidR="0003332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В руслі агропродовольчої політики Європейська спільнота  п</w:t>
      </w:r>
      <w:r w:rsidR="00DD2E30" w:rsidRPr="00D975AB">
        <w:rPr>
          <w:rFonts w:ascii="Times New Roman" w:hAnsi="Times New Roman" w:cs="Times New Roman"/>
          <w:sz w:val="24"/>
          <w:szCs w:val="24"/>
          <w:lang w:val="ru-RU"/>
        </w:rPr>
        <w:t>осилену увагу приділяє</w:t>
      </w:r>
      <w:r w:rsidR="0003332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безпечності </w:t>
      </w:r>
      <w:r w:rsidR="004437F1">
        <w:rPr>
          <w:rFonts w:ascii="Times New Roman" w:hAnsi="Times New Roman" w:cs="Times New Roman"/>
          <w:sz w:val="24"/>
          <w:szCs w:val="24"/>
          <w:lang w:val="ru-RU"/>
        </w:rPr>
        <w:t xml:space="preserve">продовольства. </w:t>
      </w:r>
      <w:r w:rsidR="003A59B4" w:rsidRPr="003A59B4">
        <w:rPr>
          <w:rFonts w:ascii="Times New Roman" w:hAnsi="Times New Roman" w:cs="Times New Roman"/>
          <w:sz w:val="24"/>
          <w:szCs w:val="24"/>
          <w:lang w:val="uk-UA"/>
        </w:rPr>
        <w:t>Вирішення</w:t>
      </w:r>
      <w:r w:rsidR="003A5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9B4" w:rsidRPr="003A59B4">
        <w:rPr>
          <w:rFonts w:ascii="Times New Roman" w:hAnsi="Times New Roman" w:cs="Times New Roman"/>
          <w:sz w:val="24"/>
          <w:szCs w:val="24"/>
          <w:lang w:val="uk-UA"/>
        </w:rPr>
        <w:t>такої</w:t>
      </w:r>
      <w:r w:rsidR="003A5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9B4" w:rsidRPr="003A59B4">
        <w:rPr>
          <w:rFonts w:ascii="Times New Roman" w:hAnsi="Times New Roman" w:cs="Times New Roman"/>
          <w:sz w:val="24"/>
          <w:szCs w:val="24"/>
          <w:lang w:val="uk-UA"/>
        </w:rPr>
        <w:t>задачі</w:t>
      </w:r>
      <w:r w:rsidR="003A59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A59B4" w:rsidRPr="003A59B4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3A5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9B4" w:rsidRPr="003A59B4">
        <w:rPr>
          <w:rFonts w:ascii="Times New Roman" w:hAnsi="Times New Roman" w:cs="Times New Roman"/>
          <w:sz w:val="24"/>
          <w:szCs w:val="24"/>
          <w:lang w:val="uk-UA"/>
        </w:rPr>
        <w:t>міждержавний</w:t>
      </w:r>
      <w:r w:rsidR="00BC1406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>документ  – Біла книга про продовольчу безпеку (</w:t>
      </w:r>
      <w:r w:rsidR="0003332D" w:rsidRPr="00D975AB">
        <w:rPr>
          <w:rFonts w:ascii="Times New Roman" w:hAnsi="Times New Roman" w:cs="Times New Roman"/>
          <w:sz w:val="24"/>
          <w:szCs w:val="24"/>
        </w:rPr>
        <w:t>White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2D" w:rsidRPr="00D975AB">
        <w:rPr>
          <w:rFonts w:ascii="Times New Roman" w:hAnsi="Times New Roman" w:cs="Times New Roman"/>
          <w:sz w:val="24"/>
          <w:szCs w:val="24"/>
        </w:rPr>
        <w:t>Paper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2D" w:rsidRPr="00D975AB">
        <w:rPr>
          <w:rFonts w:ascii="Times New Roman" w:hAnsi="Times New Roman" w:cs="Times New Roman"/>
          <w:sz w:val="24"/>
          <w:szCs w:val="24"/>
        </w:rPr>
        <w:t>on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2D" w:rsidRPr="00D975AB">
        <w:rPr>
          <w:rFonts w:ascii="Times New Roman" w:hAnsi="Times New Roman" w:cs="Times New Roman"/>
          <w:sz w:val="24"/>
          <w:szCs w:val="24"/>
        </w:rPr>
        <w:t>Food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32D" w:rsidRPr="00D975AB">
        <w:rPr>
          <w:rFonts w:ascii="Times New Roman" w:hAnsi="Times New Roman" w:cs="Times New Roman"/>
          <w:sz w:val="24"/>
          <w:szCs w:val="24"/>
        </w:rPr>
        <w:t>Safety</w:t>
      </w:r>
      <w:r w:rsidR="00BC1406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), де 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фактично реалізується концепція  </w:t>
      </w:r>
      <w:r w:rsidR="00DD2E30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контролю якості 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«від ферми до обіднього столу».  </w:t>
      </w:r>
    </w:p>
    <w:p w:rsidR="004D046A" w:rsidRPr="00D975AB" w:rsidRDefault="004A5724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0AF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5A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>Заслуговує на увагу такий факт. Питома вага с</w:t>
      </w:r>
      <w:r w:rsidR="00625818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ільського господарства в </w:t>
      </w:r>
      <w:r w:rsidR="00625818" w:rsidRPr="00D975AB">
        <w:rPr>
          <w:rFonts w:ascii="Times New Roman" w:hAnsi="Times New Roman" w:cs="Times New Roman"/>
          <w:sz w:val="24"/>
          <w:szCs w:val="24"/>
          <w:lang w:val="uk-UA"/>
        </w:rPr>
        <w:t>структурі</w:t>
      </w:r>
      <w:r w:rsidR="00625818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ВВП країн ЄС становить </w:t>
      </w:r>
      <w:r w:rsidR="00E17A7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лише 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>1,2 %, проте, на відміну від України, на реалізацію заходів агропродовольчої політики щорічно використовується 40,0%  від загальної суми бюджету ЄС.</w:t>
      </w:r>
      <w:r w:rsidR="001D0E3F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Найбільша частка коштів  (4/5) </w:t>
      </w:r>
      <w:r w:rsidR="00BD280C" w:rsidRPr="00D975AB">
        <w:rPr>
          <w:rFonts w:ascii="Times New Roman" w:hAnsi="Times New Roman" w:cs="Times New Roman"/>
          <w:sz w:val="24"/>
          <w:szCs w:val="24"/>
          <w:lang w:val="uk-UA"/>
        </w:rPr>
        <w:t>спрямовується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у вигляді дотацій на </w:t>
      </w:r>
      <w:r w:rsidR="00BD280C" w:rsidRPr="00D975AB">
        <w:rPr>
          <w:rFonts w:ascii="Times New Roman" w:hAnsi="Times New Roman" w:cs="Times New Roman"/>
          <w:sz w:val="24"/>
          <w:szCs w:val="24"/>
          <w:lang w:val="uk-UA"/>
        </w:rPr>
        <w:t>безпосередню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фінансову підт</w:t>
      </w:r>
      <w:r w:rsidR="00BC1406" w:rsidRPr="00D975AB">
        <w:rPr>
          <w:rFonts w:ascii="Times New Roman" w:hAnsi="Times New Roman" w:cs="Times New Roman"/>
          <w:sz w:val="24"/>
          <w:szCs w:val="24"/>
          <w:lang w:val="ru-RU"/>
        </w:rPr>
        <w:t>римку фермерам з метою стабілізації</w:t>
      </w:r>
      <w:r w:rsidR="00BD280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необхідного рівня цін і, відповід</w:t>
      </w:r>
      <w:r w:rsidR="009E3C5E" w:rsidRPr="00D975AB">
        <w:rPr>
          <w:rFonts w:ascii="Times New Roman" w:hAnsi="Times New Roman" w:cs="Times New Roman"/>
          <w:sz w:val="24"/>
          <w:szCs w:val="24"/>
          <w:lang w:val="ru-RU"/>
        </w:rPr>
        <w:t>но, доходів. Решта видатків (1/5 частина)</w:t>
      </w:r>
      <w:r w:rsidR="002A3D3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5342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на фінансування </w:t>
      </w:r>
      <w:r w:rsidR="00553422" w:rsidRPr="00D975AB">
        <w:rPr>
          <w:rFonts w:ascii="Times New Roman" w:hAnsi="Times New Roman" w:cs="Times New Roman"/>
          <w:sz w:val="24"/>
          <w:szCs w:val="24"/>
          <w:lang w:val="uk-UA"/>
        </w:rPr>
        <w:t>стійкого</w:t>
      </w:r>
      <w:r w:rsidR="0055342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розвитку </w:t>
      </w:r>
      <w:r w:rsidR="00553422" w:rsidRPr="00D975AB">
        <w:rPr>
          <w:rFonts w:ascii="Times New Roman" w:hAnsi="Times New Roman" w:cs="Times New Roman"/>
          <w:sz w:val="24"/>
          <w:szCs w:val="24"/>
          <w:lang w:val="uk-UA"/>
        </w:rPr>
        <w:t>сільських</w:t>
      </w:r>
      <w:r w:rsidR="0055342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422" w:rsidRPr="00D975AB">
        <w:rPr>
          <w:rFonts w:ascii="Times New Roman" w:hAnsi="Times New Roman" w:cs="Times New Roman"/>
          <w:sz w:val="24"/>
          <w:szCs w:val="24"/>
          <w:lang w:val="uk-UA"/>
        </w:rPr>
        <w:t>територій</w:t>
      </w:r>
      <w:r w:rsidR="0055342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, в тому числі на </w:t>
      </w:r>
      <w:r w:rsidR="00BC1406" w:rsidRPr="00D975AB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r w:rsidR="00DD2E30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його</w:t>
      </w:r>
      <w:r w:rsidR="00BC140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422" w:rsidRPr="00D975AB">
        <w:rPr>
          <w:rFonts w:ascii="Times New Roman" w:hAnsi="Times New Roman" w:cs="Times New Roman"/>
          <w:sz w:val="24"/>
          <w:szCs w:val="24"/>
          <w:lang w:val="uk-UA"/>
        </w:rPr>
        <w:t>інфраструкту</w:t>
      </w:r>
      <w:r w:rsidR="00BC1406" w:rsidRPr="00D975AB">
        <w:rPr>
          <w:rFonts w:ascii="Times New Roman" w:hAnsi="Times New Roman" w:cs="Times New Roman"/>
          <w:sz w:val="24"/>
          <w:szCs w:val="24"/>
          <w:lang w:val="uk-UA"/>
        </w:rPr>
        <w:t>ри</w:t>
      </w:r>
      <w:r w:rsidR="00553422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 Мінекономіки </w:t>
      </w:r>
      <w:r w:rsidR="00BC1406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України передбачають, що в</w:t>
      </w:r>
      <w:r w:rsidR="009D4664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2022 році державна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D4664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допомога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A7C2E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сільгоспвиробникам</w:t>
      </w:r>
      <w:r w:rsidR="00AA7C2E" w:rsidRPr="00D975AB">
        <w:rPr>
          <w:sz w:val="24"/>
          <w:szCs w:val="24"/>
          <w:lang w:val="uk-UA"/>
        </w:rPr>
        <w:t xml:space="preserve"> 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4664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буде становити </w:t>
      </w:r>
      <w:r w:rsidR="002C70D1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всього 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1% аграрного ВВП, </w:t>
      </w:r>
      <w:r w:rsidR="009D4664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тобто </w:t>
      </w:r>
      <w:r w:rsidR="000B525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близько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8,5 млрд</w:t>
      </w:r>
      <w:r w:rsidR="00EF0AFC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7E42D9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грн. на рік.</w:t>
      </w:r>
      <w:r w:rsidR="007E42D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4DA" w:rsidRPr="00D975AB">
        <w:rPr>
          <w:rFonts w:ascii="Times New Roman" w:hAnsi="Times New Roman" w:cs="Times New Roman"/>
          <w:sz w:val="24"/>
          <w:szCs w:val="24"/>
          <w:lang w:val="ru-RU"/>
        </w:rPr>
        <w:t>[4</w:t>
      </w:r>
      <w:r w:rsidR="007E42D9" w:rsidRPr="00D975AB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EB6114" w:rsidRPr="00D975AB" w:rsidRDefault="00496112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F0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Звернемося до практичного досвіду </w:t>
      </w:r>
      <w:r w:rsidR="00C409A4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окремих </w:t>
      </w:r>
      <w:r w:rsidR="00EF0AFC" w:rsidRPr="00D975AB">
        <w:rPr>
          <w:rFonts w:ascii="Times New Roman" w:hAnsi="Times New Roman" w:cs="Times New Roman"/>
          <w:sz w:val="24"/>
          <w:szCs w:val="24"/>
          <w:lang w:val="uk-UA"/>
        </w:rPr>
        <w:t>Європейських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країн. </w:t>
      </w:r>
      <w:r w:rsidR="00413BB7" w:rsidRPr="00D975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радиційно, </w:t>
      </w:r>
      <w:r w:rsidR="000D012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маленькі приватні  господарства домінують  у секторі  </w:t>
      </w:r>
      <w:r w:rsidR="000D012C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агрогосподарства  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>Поль</w:t>
      </w:r>
      <w:r w:rsidR="000D012C" w:rsidRPr="00D975AB">
        <w:rPr>
          <w:rFonts w:ascii="Times New Roman" w:hAnsi="Times New Roman" w:cs="Times New Roman"/>
          <w:sz w:val="24"/>
          <w:szCs w:val="24"/>
          <w:lang w:val="ru-RU"/>
        </w:rPr>
        <w:t>щі,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який 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2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генерує 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приблизно 4 % ВВП країни. </w:t>
      </w:r>
      <w:r w:rsidR="009D4664" w:rsidRPr="00D975AB">
        <w:rPr>
          <w:rFonts w:ascii="Times New Roman" w:hAnsi="Times New Roman" w:cs="Times New Roman"/>
          <w:sz w:val="24"/>
          <w:szCs w:val="24"/>
          <w:lang w:val="uk-UA"/>
        </w:rPr>
        <w:t>Урядова</w:t>
      </w:r>
      <w:r w:rsidR="009D466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підтримка здійснюється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у вигляді </w:t>
      </w:r>
      <w:r w:rsidR="009D4664" w:rsidRPr="00D975AB">
        <w:rPr>
          <w:rFonts w:ascii="Times New Roman" w:hAnsi="Times New Roman" w:cs="Times New Roman"/>
          <w:sz w:val="24"/>
          <w:szCs w:val="24"/>
          <w:lang w:val="uk-UA"/>
        </w:rPr>
        <w:t>разових преміальних виплат</w:t>
      </w:r>
      <w:r w:rsidR="009D4664" w:rsidRPr="00D975AB">
        <w:rPr>
          <w:rFonts w:ascii="MinionPro-Regular" w:hAnsi="MinionPro-Regular" w:cs="MinionPro-Regular"/>
          <w:sz w:val="24"/>
          <w:szCs w:val="24"/>
          <w:lang w:val="uk-UA"/>
        </w:rPr>
        <w:t xml:space="preserve"> </w:t>
      </w:r>
      <w:r w:rsidR="009D4664" w:rsidRPr="00D975AB">
        <w:rPr>
          <w:rFonts w:ascii="Times New Roman" w:hAnsi="Times New Roman" w:cs="Times New Roman"/>
          <w:sz w:val="24"/>
          <w:szCs w:val="24"/>
          <w:lang w:val="uk-UA"/>
        </w:rPr>
        <w:t>молодим фермерам, дотацій  для створення сільської інфраструктури (водовідведення, переробка побутових відходів),</w:t>
      </w:r>
      <w:r w:rsidR="009D4664" w:rsidRPr="00D975AB">
        <w:rPr>
          <w:rFonts w:ascii="MinionPro-Regular" w:hAnsi="MinionPro-Regular" w:cs="MinionPro-Regular"/>
          <w:sz w:val="24"/>
          <w:szCs w:val="24"/>
          <w:lang w:val="uk-UA"/>
        </w:rPr>
        <w:t xml:space="preserve"> </w:t>
      </w:r>
      <w:r w:rsidR="009D4664" w:rsidRPr="00D975AB">
        <w:rPr>
          <w:rFonts w:ascii="Times New Roman" w:hAnsi="Times New Roman" w:cs="Times New Roman"/>
          <w:sz w:val="24"/>
          <w:szCs w:val="24"/>
          <w:lang w:val="ru-RU"/>
        </w:rPr>
        <w:t>пільгових кредитів (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>позики під 9</w:t>
      </w:r>
      <w:r w:rsidR="004437F1">
        <w:rPr>
          <w:rFonts w:ascii="Times New Roman" w:hAnsi="Times New Roman" w:cs="Times New Roman"/>
          <w:sz w:val="24"/>
          <w:szCs w:val="24"/>
          <w:lang w:val="ru-RU"/>
        </w:rPr>
        <w:t>,0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>% річних терміном до 15 років</w:t>
      </w:r>
      <w:r w:rsidR="009D4664" w:rsidRPr="00D975AB">
        <w:rPr>
          <w:rFonts w:ascii="Times New Roman" w:hAnsi="Times New Roman" w:cs="Times New Roman"/>
          <w:sz w:val="24"/>
          <w:szCs w:val="24"/>
          <w:lang w:val="ru-RU"/>
        </w:rPr>
        <w:t>) при цьому 7</w:t>
      </w:r>
      <w:r w:rsidR="004437F1">
        <w:rPr>
          <w:rFonts w:ascii="Times New Roman" w:hAnsi="Times New Roman" w:cs="Times New Roman"/>
          <w:sz w:val="24"/>
          <w:szCs w:val="24"/>
          <w:lang w:val="ru-RU"/>
        </w:rPr>
        <w:t>,0</w:t>
      </w:r>
      <w:r w:rsidR="009D466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% із них компенсує Агенство із </w:t>
      </w:r>
      <w:r w:rsidR="00055394" w:rsidRPr="00D975AB">
        <w:rPr>
          <w:rFonts w:ascii="Times New Roman" w:hAnsi="Times New Roman" w:cs="Times New Roman"/>
          <w:sz w:val="24"/>
          <w:szCs w:val="24"/>
          <w:lang w:val="uk-UA"/>
        </w:rPr>
        <w:t>реструктуризації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055394" w:rsidRPr="00D975AB">
        <w:rPr>
          <w:rFonts w:ascii="Times New Roman" w:hAnsi="Times New Roman" w:cs="Times New Roman"/>
          <w:sz w:val="24"/>
          <w:szCs w:val="24"/>
          <w:lang w:val="uk-UA"/>
        </w:rPr>
        <w:t>модернізації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сільського господарства</w:t>
      </w:r>
      <w:r w:rsidR="00413BB7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55394" w:rsidRPr="00D975AB">
        <w:rPr>
          <w:rFonts w:ascii="Times New Roman" w:hAnsi="Times New Roman" w:cs="Times New Roman"/>
          <w:sz w:val="24"/>
          <w:szCs w:val="24"/>
        </w:rPr>
        <w:t>ARiMR</w:t>
      </w:r>
      <w:r w:rsidR="00075FFB" w:rsidRPr="00D975A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539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0AFC" w:rsidRPr="00D975AB">
        <w:rPr>
          <w:rFonts w:ascii="Times New Roman" w:hAnsi="Times New Roman" w:cs="Times New Roman"/>
          <w:sz w:val="24"/>
          <w:szCs w:val="24"/>
          <w:lang w:val="ru-RU"/>
        </w:rPr>
        <w:t>[5</w:t>
      </w:r>
      <w:r w:rsidR="00075FFB" w:rsidRPr="00D975AB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30A" w:rsidRPr="00D975AB">
        <w:rPr>
          <w:rFonts w:ascii="Times New Roman" w:hAnsi="Times New Roman" w:cs="Times New Roman"/>
          <w:sz w:val="24"/>
          <w:szCs w:val="24"/>
          <w:lang w:val="uk-UA"/>
        </w:rPr>
        <w:t>Також комерційні банки пропонують фермерам інвестиційні кредити,</w:t>
      </w:r>
      <w:r w:rsidR="00523D90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спеціальні</w:t>
      </w:r>
      <w:r w:rsidR="00C409A4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кредити для груп фермерів з метою стимулювання їх коопераційних зв’язків</w:t>
      </w:r>
      <w:r w:rsidR="009D4664" w:rsidRPr="00D975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2E30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5394" w:rsidRPr="00D975AB" w:rsidRDefault="00EB6114" w:rsidP="00D975AB">
      <w:pPr>
        <w:tabs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975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F0AFC" w:rsidRPr="00D975AB">
        <w:rPr>
          <w:rFonts w:ascii="Times New Roman" w:hAnsi="Times New Roman" w:cs="Times New Roman"/>
          <w:sz w:val="24"/>
          <w:szCs w:val="24"/>
          <w:lang w:val="uk-UA"/>
        </w:rPr>
        <w:t>Подібні програми діють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>інших країн</w:t>
      </w:r>
      <w:r w:rsidR="00EF0AFC" w:rsidRPr="00D975AB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AB37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>Словенії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>на законодавчому рівні   регулюються положення, щодо заходів безпеки харчових продуктів рослинного походження, якості харчових продуктів на всіх етапах виробництв</w:t>
      </w:r>
      <w:r w:rsidR="003A59B4">
        <w:rPr>
          <w:rFonts w:ascii="Times New Roman" w:hAnsi="Times New Roman" w:cs="Times New Roman"/>
          <w:sz w:val="24"/>
          <w:szCs w:val="24"/>
          <w:lang w:val="uk-UA"/>
        </w:rPr>
        <w:t>а, переробки і транспортування;</w:t>
      </w:r>
      <w:r w:rsidR="00DD2E30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довгострокового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родючості земель сільськогосподарського призначення; </w:t>
      </w:r>
      <w:r w:rsidR="00DD2E30" w:rsidRPr="00D975AB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45756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 охорони навколишнього середовища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1406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CB2AD9" w:rsidRPr="00D975AB">
        <w:rPr>
          <w:rFonts w:ascii="Times New Roman" w:hAnsi="Times New Roman" w:cs="Times New Roman"/>
          <w:sz w:val="24"/>
          <w:szCs w:val="24"/>
          <w:lang w:val="uk-UA"/>
        </w:rPr>
        <w:t>Литві е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>кономічні відносини між аграрними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підприємствами і державними установами  регулюються </w:t>
      </w:r>
      <w:r w:rsidR="009D2CC4" w:rsidRPr="00D975AB">
        <w:rPr>
          <w:rFonts w:ascii="Times New Roman" w:hAnsi="Times New Roman" w:cs="Times New Roman"/>
          <w:sz w:val="24"/>
          <w:szCs w:val="24"/>
          <w:lang w:val="uk-UA"/>
        </w:rPr>
        <w:t>шляхом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: забезпечення закупівлі сільськогосподарської продукції відповідно до квот; підтримку ін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>вестицій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; контроль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якості продукції;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обмеження </w:t>
      </w:r>
      <w:r w:rsidR="003A59B4">
        <w:rPr>
          <w:rFonts w:ascii="Times New Roman" w:hAnsi="Times New Roman" w:cs="Times New Roman"/>
          <w:sz w:val="24"/>
          <w:szCs w:val="24"/>
          <w:lang w:val="uk-UA"/>
        </w:rPr>
        <w:t>діяльності від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>повідних</w:t>
      </w:r>
      <w:r w:rsidR="00BF549F">
        <w:rPr>
          <w:rFonts w:ascii="Times New Roman" w:hAnsi="Times New Roman" w:cs="Times New Roman"/>
          <w:sz w:val="24"/>
          <w:szCs w:val="24"/>
          <w:lang w:val="uk-UA"/>
        </w:rPr>
        <w:t xml:space="preserve"> фірм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>, час</w:t>
      </w:r>
      <w:r w:rsidR="00E17A7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тка яких є домінантною на ринку. 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>Франція є найбільш а</w:t>
      </w:r>
      <w:r w:rsidR="00496112" w:rsidRPr="00D975A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>тивною країною в галузі розвитку сільського господарства,</w:t>
      </w:r>
      <w:r w:rsidR="00800F4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за обсягом виробленої продукції  посідає 1-е місце в Західній Європі і третє місце в світі, у галузі зайнято близько 7 % працездатного населення </w:t>
      </w:r>
      <w:r w:rsidR="008E74DA" w:rsidRPr="00D975AB">
        <w:rPr>
          <w:rFonts w:ascii="Times New Roman" w:hAnsi="Times New Roman" w:cs="Times New Roman"/>
          <w:sz w:val="24"/>
          <w:szCs w:val="24"/>
          <w:lang w:val="uk-UA"/>
        </w:rPr>
        <w:t>[5</w:t>
      </w:r>
      <w:r w:rsidR="00800F4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496112" w:rsidRPr="00D975AB">
        <w:rPr>
          <w:rFonts w:ascii="Times New Roman" w:hAnsi="Times New Roman" w:cs="Times New Roman"/>
          <w:sz w:val="24"/>
          <w:szCs w:val="24"/>
          <w:lang w:val="uk-UA"/>
        </w:rPr>
        <w:t>Досягненню</w:t>
      </w:r>
      <w:r w:rsidR="004959E3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прогресивного розвитку </w:t>
      </w:r>
      <w:r w:rsidR="00800F4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сприяла розроблена 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уряд</w:t>
      </w:r>
      <w:r w:rsidR="00800F45" w:rsidRPr="00D975A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F45" w:rsidRPr="00D975AB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CB2AD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відродження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села, яка акцентувала увагу  на</w:t>
      </w:r>
      <w:r w:rsidR="00CB2AD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187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пріоритетному </w:t>
      </w:r>
      <w:r w:rsidR="00CB2AD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аграрного виробництва у провінціях. </w:t>
      </w:r>
    </w:p>
    <w:p w:rsidR="005454A0" w:rsidRPr="00D975AB" w:rsidRDefault="007D2927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975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>На думку науковця  Н. Кордзая,  заходи державної підтримки продовольчого забезпечення, які використовуються  у Європейських країнах світ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у  можна представити таким чином </w:t>
      </w:r>
      <w:r w:rsidR="009653A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>табл. 1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59E3" w:rsidRPr="00D975AB" w:rsidRDefault="005454A0" w:rsidP="00F84A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Таблиця 1 – 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>Заходи державної підт</w:t>
      </w:r>
      <w:r w:rsidR="00F84AB4" w:rsidRPr="00D975AB">
        <w:rPr>
          <w:rFonts w:ascii="Times New Roman" w:hAnsi="Times New Roman" w:cs="Times New Roman"/>
          <w:sz w:val="24"/>
          <w:szCs w:val="24"/>
          <w:lang w:val="ru-RU"/>
        </w:rPr>
        <w:t>римки продовольчого забезпечення</w:t>
      </w:r>
      <w:r w:rsidR="004959E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6252"/>
      </w:tblGrid>
      <w:tr w:rsidR="004959E3" w:rsidTr="00593D46">
        <w:tc>
          <w:tcPr>
            <w:tcW w:w="992" w:type="dxa"/>
          </w:tcPr>
          <w:p w:rsidR="004959E3" w:rsidRPr="000660C4" w:rsidRDefault="004959E3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4" w:type="dxa"/>
          </w:tcPr>
          <w:p w:rsidR="004959E3" w:rsidRPr="000660C4" w:rsidRDefault="004959E3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Методологічні підходи до регулювання.  </w:t>
            </w:r>
          </w:p>
        </w:tc>
        <w:tc>
          <w:tcPr>
            <w:tcW w:w="6252" w:type="dxa"/>
          </w:tcPr>
          <w:p w:rsidR="004959E3" w:rsidRPr="000660C4" w:rsidRDefault="004959E3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Заходи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4959E3" w:rsidRPr="000660C4" w:rsidRDefault="000660C4" w:rsidP="0006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Ринкові перетворення</w:t>
            </w:r>
          </w:p>
        </w:tc>
        <w:tc>
          <w:tcPr>
            <w:tcW w:w="6252" w:type="dxa"/>
          </w:tcPr>
          <w:p w:rsidR="004959E3" w:rsidRPr="000660C4" w:rsidRDefault="000660C4" w:rsidP="00066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Виділення коштів на розробку та виконання ринкових планів, субсидії: на зберігання продуктів, на транспортування сільськогосподарської продукції.</w:t>
            </w:r>
          </w:p>
        </w:tc>
      </w:tr>
      <w:tr w:rsidR="004959E3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4959E3" w:rsidRPr="000660C4" w:rsidRDefault="000660C4" w:rsidP="0006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Інфраструктурні </w:t>
            </w: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стимули</w:t>
            </w:r>
          </w:p>
        </w:tc>
        <w:tc>
          <w:tcPr>
            <w:tcW w:w="6252" w:type="dxa"/>
          </w:tcPr>
          <w:p w:rsidR="004959E3" w:rsidRPr="000660C4" w:rsidRDefault="000660C4" w:rsidP="00066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Субсидії: на будівництво  інфраструктурних об’єктів, для </w:t>
            </w: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зрошувальних проектів,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меліорацію земель. Підтримка різних форм об’єднання фермерів. 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694" w:type="dxa"/>
          </w:tcPr>
          <w:p w:rsidR="004959E3" w:rsidRPr="000660C4" w:rsidRDefault="000660C4" w:rsidP="0006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Макроекономічні стимули</w:t>
            </w:r>
          </w:p>
        </w:tc>
        <w:tc>
          <w:tcPr>
            <w:tcW w:w="6252" w:type="dxa"/>
          </w:tcPr>
          <w:p w:rsidR="004959E3" w:rsidRPr="000660C4" w:rsidRDefault="000660C4" w:rsidP="0006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Пільгова податкова політика, зовнішньоторговельна діяльність.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4959E3" w:rsidRPr="000660C4" w:rsidRDefault="000660C4" w:rsidP="00066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Фінансові стимули</w:t>
            </w:r>
          </w:p>
        </w:tc>
        <w:tc>
          <w:tcPr>
            <w:tcW w:w="6252" w:type="dxa"/>
          </w:tcPr>
          <w:p w:rsidR="004959E3" w:rsidRPr="000660C4" w:rsidRDefault="000660C4" w:rsidP="00066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Компенсаційні механізми. Гарантування платежів за умови появи збитків від стихійних лих та форс-мажорних обставин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4959E3" w:rsidRPr="000660C4" w:rsidRDefault="000660C4" w:rsidP="00066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Цінове втручання на продовольчому ринку</w:t>
            </w:r>
          </w:p>
        </w:tc>
        <w:tc>
          <w:tcPr>
            <w:tcW w:w="6252" w:type="dxa"/>
          </w:tcPr>
          <w:p w:rsidR="004959E3" w:rsidRPr="000660C4" w:rsidRDefault="000660C4" w:rsidP="00066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 внутрішніх цін на с/г продукцію</w:t>
            </w:r>
            <w:r w:rsidR="00CE1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становлення квот</w:t>
            </w:r>
            <w:r w:rsidR="00CE1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податків на експорт та імпорт продовольств</w:t>
            </w:r>
            <w:r w:rsidR="00CE1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0660C4" w:rsidRDefault="000660C4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4959E3" w:rsidRPr="00F244EA" w:rsidRDefault="00F244EA" w:rsidP="00F24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Компенсаційні стимули</w:t>
            </w:r>
          </w:p>
        </w:tc>
        <w:tc>
          <w:tcPr>
            <w:tcW w:w="6252" w:type="dxa"/>
          </w:tcPr>
          <w:p w:rsidR="004959E3" w:rsidRPr="00F244EA" w:rsidRDefault="00F244EA" w:rsidP="00F2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Субсидіювання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пільгове оподаткування: на </w:t>
            </w: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 добрив, кормів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6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виплат відсотків за отриманими кредитами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страхування майна</w:t>
            </w:r>
            <w:r w:rsidR="00CE1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959E3" w:rsidRPr="00AB3775" w:rsidTr="00593D46">
        <w:tc>
          <w:tcPr>
            <w:tcW w:w="992" w:type="dxa"/>
          </w:tcPr>
          <w:p w:rsidR="004959E3" w:rsidRPr="00F244EA" w:rsidRDefault="00F244EA" w:rsidP="0049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4959E3" w:rsidRPr="00F244EA" w:rsidRDefault="00F244EA" w:rsidP="00F2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Програмно-цільове стимулювання</w:t>
            </w:r>
          </w:p>
        </w:tc>
        <w:tc>
          <w:tcPr>
            <w:tcW w:w="6252" w:type="dxa"/>
          </w:tcPr>
          <w:p w:rsidR="004959E3" w:rsidRPr="00F244EA" w:rsidRDefault="00F244EA" w:rsidP="00F24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Виділення коштів на реалізацію державних програм розвитку продовольчого виробництва</w:t>
            </w:r>
            <w:r w:rsidR="00CE1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244EA" w:rsidRPr="00A52732" w:rsidRDefault="00F244EA" w:rsidP="0045756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527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</w:t>
      </w:r>
      <w:r w:rsidR="008E74DA" w:rsidRPr="00A52732">
        <w:rPr>
          <w:rFonts w:ascii="Times New Roman" w:hAnsi="Times New Roman" w:cs="Times New Roman"/>
          <w:i/>
          <w:sz w:val="24"/>
          <w:szCs w:val="24"/>
          <w:lang w:val="ru-RU"/>
        </w:rPr>
        <w:t>[6</w:t>
      </w:r>
      <w:r w:rsidRPr="00A52732">
        <w:rPr>
          <w:rFonts w:ascii="Times New Roman" w:hAnsi="Times New Roman" w:cs="Times New Roman"/>
          <w:i/>
          <w:sz w:val="24"/>
          <w:szCs w:val="24"/>
          <w:lang w:val="ru-RU"/>
        </w:rPr>
        <w:t>, с.73</w:t>
      </w:r>
      <w:r w:rsidR="005454A0" w:rsidRPr="00A52732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  <w:r w:rsidR="005454A0" w:rsidRPr="00A52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5BA2" w:rsidRPr="00D975AB" w:rsidRDefault="00AB3775" w:rsidP="00AB37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>Провідні параметри аграрної політики ЄС</w:t>
      </w:r>
      <w:r w:rsidR="00A16225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викладені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у </w:t>
      </w:r>
      <w:r w:rsidR="00A16225" w:rsidRPr="00D975AB">
        <w:rPr>
          <w:rFonts w:ascii="Times New Roman" w:hAnsi="Times New Roman" w:cs="Times New Roman"/>
          <w:sz w:val="24"/>
          <w:szCs w:val="24"/>
          <w:lang w:val="uk-UA"/>
        </w:rPr>
        <w:t>міждержавних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документах, які </w:t>
      </w:r>
      <w:r w:rsidR="001F63F8" w:rsidRPr="00D975AB">
        <w:rPr>
          <w:rFonts w:ascii="Times New Roman" w:hAnsi="Times New Roman" w:cs="Times New Roman"/>
          <w:sz w:val="24"/>
          <w:szCs w:val="24"/>
          <w:lang w:val="uk-UA"/>
        </w:rPr>
        <w:t>включають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E51852" w:rsidRDefault="000B5BA2" w:rsidP="00593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середньострокової (на 5-7 років) стратегії розвитку сільського господарства і ринку продовольства, оформленої і закріпленої у вигляді закону; </w:t>
      </w:r>
    </w:p>
    <w:p w:rsidR="000B5BA2" w:rsidRPr="00D975AB" w:rsidRDefault="00E51852" w:rsidP="00593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програм: 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>підтримки доходів сільгосп</w:t>
      </w:r>
      <w:r>
        <w:rPr>
          <w:rFonts w:ascii="Times New Roman" w:hAnsi="Times New Roman" w:cs="Times New Roman"/>
          <w:sz w:val="24"/>
          <w:szCs w:val="24"/>
          <w:lang w:val="uk-UA"/>
        </w:rPr>
        <w:t>виробників,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сільської місцевості,  екологічних;</w:t>
      </w:r>
    </w:p>
    <w:p w:rsidR="000B5BA2" w:rsidRPr="00D975AB" w:rsidRDefault="000B5BA2" w:rsidP="00593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конкретних </w:t>
      </w:r>
      <w:r w:rsidR="00BF549F">
        <w:rPr>
          <w:rFonts w:ascii="Times New Roman" w:hAnsi="Times New Roman" w:cs="Times New Roman"/>
          <w:sz w:val="24"/>
          <w:szCs w:val="24"/>
          <w:lang w:val="uk-UA"/>
        </w:rPr>
        <w:t xml:space="preserve">цінових параметрів та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обсягу фінансуван</w:t>
      </w:r>
      <w:r w:rsidR="00370776" w:rsidRPr="00D975AB">
        <w:rPr>
          <w:rFonts w:ascii="Times New Roman" w:hAnsi="Times New Roman" w:cs="Times New Roman"/>
          <w:sz w:val="24"/>
          <w:szCs w:val="24"/>
          <w:lang w:val="uk-UA"/>
        </w:rPr>
        <w:t>ня за кожною програмою, які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прив’язуються або до площі посівів, або до обсягів виробництва конкретного виду сільськогосподарської продукції; </w:t>
      </w:r>
    </w:p>
    <w:p w:rsidR="00140A09" w:rsidRPr="00D975AB" w:rsidRDefault="001F63F8" w:rsidP="00593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>уніфікацію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підходів до надання фінансової підтримки і можливості 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>вибору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140A09" w:rsidRPr="00D975AB" w:rsidRDefault="00240CF9" w:rsidP="00593D4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управління 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фі</w:t>
      </w:r>
      <w:r w:rsidR="00140A09" w:rsidRPr="00D975AB">
        <w:rPr>
          <w:rFonts w:ascii="Times New Roman" w:hAnsi="Times New Roman" w:cs="Times New Roman"/>
          <w:sz w:val="24"/>
          <w:szCs w:val="24"/>
          <w:lang w:val="uk-UA"/>
        </w:rPr>
        <w:t>нанс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ово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-економічними та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екологічн</w:t>
      </w:r>
      <w:r w:rsidR="00140A09" w:rsidRPr="00D975AB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140A0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ризиками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40A09" w:rsidRPr="00D975AB" w:rsidRDefault="00240CF9" w:rsidP="00593D4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відновлення, збереження та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бережливе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використання 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екосистем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B5BA2" w:rsidRPr="00D975AB" w:rsidRDefault="001F63F8" w:rsidP="00593D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>політику</w:t>
      </w:r>
      <w:r w:rsidR="00370776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поступового</w:t>
      </w:r>
      <w:r w:rsidR="000666AE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обмеження 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>виготовлення нездорових продуктів харчування</w:t>
      </w:r>
      <w:r w:rsidR="00370776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, тобто </w:t>
      </w:r>
      <w:r w:rsidR="000B5BA2" w:rsidRPr="00D975AB">
        <w:rPr>
          <w:rFonts w:ascii="Times New Roman" w:hAnsi="Times New Roman" w:cs="Times New Roman"/>
          <w:sz w:val="24"/>
          <w:szCs w:val="24"/>
          <w:lang w:val="uk-UA"/>
        </w:rPr>
        <w:t>посилення екологічної і соціальної спрямо</w:t>
      </w:r>
      <w:r w:rsidR="00AB39E7" w:rsidRPr="00D975AB">
        <w:rPr>
          <w:rFonts w:ascii="Times New Roman" w:hAnsi="Times New Roman" w:cs="Times New Roman"/>
          <w:sz w:val="24"/>
          <w:szCs w:val="24"/>
          <w:lang w:val="uk-UA"/>
        </w:rPr>
        <w:t>ваності сільського господарства [</w:t>
      </w:r>
      <w:r w:rsidR="008E74DA" w:rsidRPr="00D975A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B39E7" w:rsidRPr="00D975AB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812E99" w:rsidRPr="00D975AB" w:rsidRDefault="005905DE" w:rsidP="00AB377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було зазначено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>, уряди  розробили цілеспрям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>овані та скоординовані заходи із підтримки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продовольчої безпеки, акцентуючи увагу, в першу чергу, на регулюванні питань розвитку сільських територій, вирішенню екологічних проблем. </w:t>
      </w:r>
      <w:r w:rsidR="00BC2CE2" w:rsidRPr="00D975AB">
        <w:rPr>
          <w:rFonts w:ascii="Times New Roman" w:hAnsi="Times New Roman" w:cs="Times New Roman"/>
          <w:sz w:val="24"/>
          <w:szCs w:val="24"/>
          <w:lang w:val="uk-UA"/>
        </w:rPr>
        <w:t>Таким чином, агропродовольча політика країн ЄС – це достатній потенціал високоефективних стратегій продовольчої безпеки та відповід</w:t>
      </w:r>
      <w:r w:rsidR="001F63F8" w:rsidRPr="00D975AB">
        <w:rPr>
          <w:rFonts w:ascii="Times New Roman" w:hAnsi="Times New Roman" w:cs="Times New Roman"/>
          <w:sz w:val="24"/>
          <w:szCs w:val="24"/>
          <w:lang w:val="uk-UA"/>
        </w:rPr>
        <w:t>ний комплекс державних механізмів  та</w:t>
      </w:r>
      <w:r w:rsidR="00BC2CE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інструментів щодо її гарантування, </w:t>
      </w:r>
      <w:r w:rsidR="00E51852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може</w:t>
      </w:r>
      <w:r w:rsidR="001F63F8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взяти на озброєння </w:t>
      </w:r>
      <w:r w:rsidR="000B421A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3F8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Україна </w:t>
      </w:r>
      <w:r w:rsidR="000B421A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для розробки </w:t>
      </w:r>
      <w:r w:rsidR="001F63F8" w:rsidRPr="00D975AB">
        <w:rPr>
          <w:rFonts w:ascii="Times New Roman" w:hAnsi="Times New Roman" w:cs="Times New Roman"/>
          <w:sz w:val="24"/>
          <w:szCs w:val="24"/>
          <w:lang w:val="uk-UA"/>
        </w:rPr>
        <w:t>стратегічних ініціатив про</w:t>
      </w:r>
      <w:r w:rsidR="000B421A" w:rsidRPr="00D975AB">
        <w:rPr>
          <w:rFonts w:ascii="Times New Roman" w:hAnsi="Times New Roman" w:cs="Times New Roman"/>
          <w:sz w:val="24"/>
          <w:szCs w:val="24"/>
          <w:lang w:val="uk-UA"/>
        </w:rPr>
        <w:t>довольчої безпеки.</w:t>
      </w:r>
      <w:r w:rsidR="0003332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C61E4D" w:rsidRPr="00D975AB" w:rsidRDefault="00812E99" w:rsidP="00AB37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B37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Реальна державна підтримка підприємствам АПК </w:t>
      </w:r>
      <w:r w:rsidR="007534DF" w:rsidRPr="00D975AB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за  три квартали 2021 року склала  1 млрд. 551 млн. грн. із запланованих в бюджеті 4,5 млрд. грн. </w:t>
      </w:r>
      <w:r w:rsidR="008E74DA" w:rsidRPr="00D975AB">
        <w:rPr>
          <w:rFonts w:ascii="Times New Roman" w:hAnsi="Times New Roman" w:cs="Times New Roman"/>
          <w:sz w:val="24"/>
          <w:szCs w:val="24"/>
          <w:lang w:val="uk-UA"/>
        </w:rPr>
        <w:t>[8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]. Програмою предбачено  дотації, які сформовані  у дві групи: 1) основний напрям –  часткова компенсація ціни </w:t>
      </w:r>
      <w:r w:rsidR="00CE176D" w:rsidRPr="00D975AB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сільськогосподарської техніки (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ліній товарної обробки плодів та ягід, автоматизованих ліній, нове будівництво та реконструкція холодильників для зберігання плодів, ягід); </w:t>
      </w:r>
      <w:r w:rsidR="000B421A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програма «д</w:t>
      </w:r>
      <w:r w:rsidR="00C61E4D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оступні кредити 5–7–9%»; розвиток виноградарства, садівництва, хмелярства</w:t>
      </w:r>
      <w:r w:rsidR="00C61E4D" w:rsidRPr="00CE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1E4D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>відшкод</w:t>
      </w:r>
      <w:r w:rsidR="00A55672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ування витрат до 50 % вартості </w:t>
      </w:r>
      <w:r w:rsidR="00C61E4D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без урахування ПДВ); </w:t>
      </w:r>
      <w:r w:rsidR="007534DF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2) нові програми</w:t>
      </w:r>
      <w:r w:rsidR="00C61E4D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– агрострахування, </w:t>
      </w:r>
      <w:r w:rsidR="00C61E4D" w:rsidRPr="00D975AB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підтримка </w:t>
      </w:r>
      <w:r w:rsidR="00C61E4D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виробництва  органічної продукції, </w:t>
      </w:r>
      <w:r w:rsidR="00C61E4D" w:rsidRPr="00D975AB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відшкодування втрат від пошкодження посівів сільськогосподарських культур внаслідок надзвичайних ситуацій техногенного та природного характеру, </w:t>
      </w:r>
      <w:r w:rsidR="00BF5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розвиток меліорованих земель, </w:t>
      </w:r>
      <w:r w:rsidR="00C61E4D" w:rsidRPr="00D97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субсидії на вирощування гречки, надання державних грантів для розвитку державних меліоративних систем.</w:t>
      </w:r>
    </w:p>
    <w:p w:rsidR="003C7408" w:rsidRPr="00D975AB" w:rsidRDefault="002356AF" w:rsidP="00D97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="00D975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35F63" w:rsidRPr="00D975AB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3C48D9" w:rsidRPr="00D975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35F6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те, </w:t>
      </w:r>
      <w:r w:rsidR="00CC01D0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в Україні прямі грошові виплати аграріям носять короткостроковий </w:t>
      </w:r>
      <w:r w:rsidR="00054054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CC01D0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компенсаційний характер, не розрахований 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>на стратегічний розвиток галузі.</w:t>
      </w:r>
      <w:r w:rsidR="00CC01D0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1DAC" w:rsidRPr="00D975AB">
        <w:rPr>
          <w:rFonts w:ascii="Times New Roman" w:hAnsi="Times New Roman" w:cs="Times New Roman"/>
          <w:sz w:val="24"/>
          <w:szCs w:val="24"/>
          <w:lang w:val="uk-UA"/>
        </w:rPr>
        <w:t>Особ</w:t>
      </w:r>
      <w:r w:rsidR="00D37041" w:rsidRPr="00D975AB">
        <w:rPr>
          <w:rFonts w:ascii="Times New Roman" w:hAnsi="Times New Roman" w:cs="Times New Roman"/>
          <w:sz w:val="24"/>
          <w:szCs w:val="24"/>
          <w:lang w:val="uk-UA"/>
        </w:rPr>
        <w:t>ливу</w:t>
      </w:r>
      <w:r w:rsidR="00D3704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роль  при цьому </w:t>
      </w:r>
      <w:r w:rsidR="00D37041" w:rsidRPr="00D975AB">
        <w:rPr>
          <w:rFonts w:ascii="Times New Roman" w:hAnsi="Times New Roman" w:cs="Times New Roman"/>
          <w:sz w:val="24"/>
          <w:szCs w:val="24"/>
          <w:lang w:val="uk-UA"/>
        </w:rPr>
        <w:t>відіграє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стимулювання </w:t>
      </w:r>
      <w:r w:rsidR="00E84096" w:rsidRPr="00D975AB">
        <w:rPr>
          <w:rFonts w:ascii="Times New Roman" w:hAnsi="Times New Roman" w:cs="Times New Roman"/>
          <w:sz w:val="24"/>
          <w:szCs w:val="24"/>
          <w:lang w:val="uk-UA"/>
        </w:rPr>
        <w:t>інноваційного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розвитку агросектору.</w:t>
      </w:r>
      <w:r w:rsidR="00FC1DA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096" w:rsidRPr="00D975AB">
        <w:rPr>
          <w:rFonts w:ascii="Times New Roman" w:hAnsi="Times New Roman" w:cs="Times New Roman"/>
          <w:sz w:val="24"/>
          <w:szCs w:val="24"/>
          <w:lang w:val="uk-UA"/>
        </w:rPr>
        <w:t>Стримуючим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фактором є те, що в нашій країні поки що залишаються на недостатньому рівні розроблені методичні та практичні аспекти фінансової підтримки інноваційно-інвестиційної діяльності сільськогосподарських підприємств.</w:t>
      </w:r>
      <w:r w:rsidR="00FC1DAC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Для усунення </w:t>
      </w:r>
      <w:r w:rsidRPr="00E51852">
        <w:rPr>
          <w:rFonts w:ascii="Times New Roman" w:hAnsi="Times New Roman" w:cs="Times New Roman"/>
          <w:sz w:val="24"/>
          <w:szCs w:val="24"/>
          <w:lang w:val="uk-UA"/>
        </w:rPr>
        <w:t>зазначених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проблем </w:t>
      </w:r>
      <w:r w:rsidR="00535F63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уряду </w:t>
      </w:r>
      <w:r w:rsidR="00BF549F">
        <w:rPr>
          <w:rFonts w:ascii="Times New Roman" w:hAnsi="Times New Roman" w:cs="Times New Roman"/>
          <w:sz w:val="24"/>
          <w:szCs w:val="24"/>
          <w:lang w:val="ru-RU"/>
        </w:rPr>
        <w:t>доцільно</w:t>
      </w:r>
      <w:r w:rsidR="003C7408" w:rsidRPr="00D975A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A754B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7408" w:rsidRPr="00D975AB" w:rsidRDefault="003661D1" w:rsidP="00457B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>посилити комплексну державну підтримку</w:t>
      </w:r>
      <w:r w:rsidR="0017077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шляхом концентрації ресурсів на пріоритетних напрямках розвитку</w:t>
      </w:r>
      <w:r w:rsidR="003C7408" w:rsidRPr="00D975A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C01D0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7408" w:rsidRPr="00D975AB" w:rsidRDefault="00CC01D0" w:rsidP="00457B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>активізувати механізми д</w:t>
      </w:r>
      <w:r w:rsidR="003C7408" w:rsidRPr="00D975AB">
        <w:rPr>
          <w:rFonts w:ascii="Times New Roman" w:hAnsi="Times New Roman" w:cs="Times New Roman"/>
          <w:sz w:val="24"/>
          <w:szCs w:val="24"/>
          <w:lang w:val="ru-RU"/>
        </w:rPr>
        <w:t>ержавно-приватного партнерства;</w:t>
      </w:r>
      <w:r w:rsidR="004F583B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373D" w:rsidRPr="00D975AB" w:rsidRDefault="004F583B" w:rsidP="00457B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створити гнучку нормативно-правову 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та інвестиційну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базу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>, яка б дозволя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ла нормалізувати ф</w:t>
      </w:r>
      <w:r w:rsidR="00C61E4D" w:rsidRPr="00D975AB">
        <w:rPr>
          <w:rFonts w:ascii="Times New Roman" w:hAnsi="Times New Roman" w:cs="Times New Roman"/>
          <w:sz w:val="24"/>
          <w:szCs w:val="24"/>
          <w:lang w:val="ru-RU"/>
        </w:rPr>
        <w:t>ункціонування аграрного сектору;</w:t>
      </w:r>
      <w:r w:rsidR="00BD33AD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7D99" w:rsidRPr="00D975AB" w:rsidRDefault="001F7D99" w:rsidP="00457B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>мотивувати застосуванн ефективних та екологічно оптимальних технологій аграрного виробництва;</w:t>
      </w:r>
    </w:p>
    <w:p w:rsidR="00D37041" w:rsidRPr="00D975AB" w:rsidRDefault="00535F63" w:rsidP="00CE17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>сформувати ефективний механізм фінансових позик, кредитів та страхування</w:t>
      </w:r>
      <w:r w:rsidR="00A55672"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5138" w:rsidRPr="00D975AB" w:rsidRDefault="002356AF" w:rsidP="00AB3775">
      <w:pPr>
        <w:tabs>
          <w:tab w:val="left" w:pos="709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975A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>Аналіз про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довольчої безпеки, </w:t>
      </w:r>
      <w:r w:rsidR="00E84096" w:rsidRPr="00D975AB">
        <w:rPr>
          <w:rFonts w:ascii="Times New Roman" w:hAnsi="Times New Roman" w:cs="Times New Roman"/>
          <w:sz w:val="24"/>
          <w:szCs w:val="24"/>
          <w:lang w:val="uk-UA"/>
        </w:rPr>
        <w:t>адаптаційний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підхід та врахування позитивного європейського досвіду  </w:t>
      </w:r>
      <w:r w:rsidR="00D37041" w:rsidRPr="00D975AB"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r w:rsidR="00BE3D29">
        <w:rPr>
          <w:rFonts w:ascii="Times New Roman" w:hAnsi="Times New Roman" w:cs="Times New Roman"/>
          <w:sz w:val="24"/>
          <w:szCs w:val="24"/>
          <w:lang w:val="ru-RU"/>
        </w:rPr>
        <w:t xml:space="preserve"> можливість 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ефективніше та раціональніше </w:t>
      </w:r>
      <w:r w:rsidR="00E84096" w:rsidRPr="00D975AB">
        <w:rPr>
          <w:rFonts w:ascii="Times New Roman" w:hAnsi="Times New Roman" w:cs="Times New Roman"/>
          <w:sz w:val="24"/>
          <w:szCs w:val="24"/>
          <w:lang w:val="uk-UA"/>
        </w:rPr>
        <w:t>пропрацювати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актуальні статегічні завдання розвитку вітчизняного 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агромпромислового комплексу, </w:t>
      </w:r>
      <w:r w:rsidR="00D37041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підвищити </w:t>
      </w:r>
      <w:r w:rsidR="00A26C88" w:rsidRPr="00D975AB">
        <w:rPr>
          <w:rFonts w:ascii="Times New Roman" w:hAnsi="Times New Roman" w:cs="Times New Roman"/>
          <w:sz w:val="24"/>
          <w:szCs w:val="24"/>
          <w:lang w:val="ru-RU"/>
        </w:rPr>
        <w:t>його конкурентоспроможність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812E99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в значній мірі </w:t>
      </w:r>
      <w:r w:rsidR="00812E99" w:rsidRPr="00D975AB">
        <w:rPr>
          <w:rFonts w:ascii="Times New Roman" w:hAnsi="Times New Roman" w:cs="Times New Roman"/>
          <w:sz w:val="24"/>
          <w:szCs w:val="24"/>
          <w:lang w:val="uk-UA"/>
        </w:rPr>
        <w:t>укріпити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096" w:rsidRPr="00D975AB">
        <w:rPr>
          <w:rFonts w:ascii="Times New Roman" w:hAnsi="Times New Roman" w:cs="Times New Roman"/>
          <w:sz w:val="24"/>
          <w:szCs w:val="24"/>
          <w:lang w:val="uk-UA"/>
        </w:rPr>
        <w:t>продовольчу</w:t>
      </w:r>
      <w:r w:rsidR="00E84096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безпеку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113F"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4DA" w:rsidRPr="00D975AB" w:rsidRDefault="008E74DA" w:rsidP="00A26C8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b/>
          <w:sz w:val="24"/>
          <w:szCs w:val="24"/>
          <w:lang w:val="ru-RU"/>
        </w:rPr>
        <w:t>Література</w:t>
      </w:r>
    </w:p>
    <w:p w:rsidR="008E74DA" w:rsidRPr="00D975AB" w:rsidRDefault="008E74DA" w:rsidP="00A26C8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AB">
        <w:rPr>
          <w:rFonts w:ascii="Times New Roman" w:hAnsi="Times New Roman" w:cs="Times New Roman"/>
          <w:sz w:val="24"/>
          <w:szCs w:val="24"/>
        </w:rPr>
        <w:t xml:space="preserve">Mostova A. A methodological approach to the strategic analysis of food security. Baltic Journal of Economic Studies, Vol. 3. Nо 5. Riga: Publishing House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975AB">
        <w:rPr>
          <w:rFonts w:ascii="Times New Roman" w:hAnsi="Times New Roman" w:cs="Times New Roman"/>
          <w:sz w:val="24"/>
          <w:szCs w:val="24"/>
        </w:rPr>
        <w:t>Baltija Publishing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D975AB">
        <w:rPr>
          <w:rFonts w:ascii="Times New Roman" w:hAnsi="Times New Roman" w:cs="Times New Roman"/>
          <w:sz w:val="24"/>
          <w:szCs w:val="24"/>
        </w:rPr>
        <w:t xml:space="preserve"> 2017.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975AB">
        <w:rPr>
          <w:rFonts w:ascii="Times New Roman" w:hAnsi="Times New Roman" w:cs="Times New Roman"/>
          <w:sz w:val="24"/>
          <w:szCs w:val="24"/>
        </w:rPr>
        <w:t>. 319–328.</w:t>
      </w:r>
    </w:p>
    <w:p w:rsidR="008E74DA" w:rsidRPr="00D975AB" w:rsidRDefault="008E74DA" w:rsidP="00457B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Абдиев М.Ж., Момунов У.Н., Эргешов К.А. Зарубежная практика обеспечения продовольственной безопасности в условиях интегрированного формирования. </w:t>
      </w:r>
      <w:r w:rsidRPr="00D975AB">
        <w:rPr>
          <w:rFonts w:ascii="Times New Roman" w:hAnsi="Times New Roman" w:cs="Times New Roman"/>
          <w:i/>
          <w:sz w:val="24"/>
          <w:szCs w:val="24"/>
          <w:lang w:val="ru-RU"/>
        </w:rPr>
        <w:t>Известия ВУЗов Кыргызстана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. 2017. № 12.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>. 262-264.</w:t>
      </w:r>
    </w:p>
    <w:p w:rsidR="008E74DA" w:rsidRPr="00D975AB" w:rsidRDefault="008E74DA" w:rsidP="00457B17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975AB">
        <w:rPr>
          <w:rFonts w:ascii="Times New Roman" w:hAnsi="Times New Roman" w:cs="Times New Roman"/>
          <w:sz w:val="24"/>
          <w:szCs w:val="24"/>
        </w:rPr>
        <w:t>Common agricultural policy. European Commission: Website. 2018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75AB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https://ec.europa.eu/info/food-farming-fisheries/keypolicies/common-agricultural-policy_en</w:t>
        </w:r>
      </w:hyperlink>
    </w:p>
    <w:p w:rsidR="008E74DA" w:rsidRPr="00D975AB" w:rsidRDefault="008E74DA" w:rsidP="00457B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54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ДОПОМОГА АГРАРІЯМ: У МІНЕКОНОМІКИ РОЗПОВІЛИ ПРО </w:t>
      </w:r>
      <w:r w:rsidR="00AB3775">
        <w:rPr>
          <w:rFonts w:ascii="Times New Roman" w:hAnsi="Times New Roman" w:cs="Times New Roman"/>
          <w:bCs/>
          <w:sz w:val="24"/>
          <w:szCs w:val="24"/>
          <w:lang w:val="ru-RU"/>
        </w:rPr>
        <w:t>ПРОГРАМИ І НАЗВАЛИ ЦИФРИ.</w:t>
      </w:r>
      <w:r w:rsidR="00AB3775" w:rsidRPr="00AB37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775" w:rsidRPr="00BF549F">
        <w:rPr>
          <w:rFonts w:ascii="Times New Roman" w:hAnsi="Times New Roman" w:cs="Times New Roman"/>
          <w:sz w:val="24"/>
          <w:szCs w:val="24"/>
        </w:rPr>
        <w:t>URL</w:t>
      </w:r>
      <w:r w:rsidR="00AB3775" w:rsidRPr="00AB3775">
        <w:rPr>
          <w:rFonts w:ascii="Times New Roman" w:hAnsi="Times New Roman" w:cs="Times New Roman"/>
          <w:sz w:val="24"/>
          <w:szCs w:val="24"/>
        </w:rPr>
        <w:t>:</w:t>
      </w:r>
      <w:r w:rsidR="00AB3775" w:rsidRPr="00AB377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pnk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tv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news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economics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dopomoha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ahrariiam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u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minekonomiky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rozpovily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pro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prohramy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i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nazvaly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tsyfry</w:t>
        </w:r>
        <w:r w:rsidRPr="00AB3775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_1005324</w:t>
        </w:r>
      </w:hyperlink>
    </w:p>
    <w:p w:rsidR="008E74DA" w:rsidRPr="00D975AB" w:rsidRDefault="008E74DA" w:rsidP="00457B17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досвіду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аграрного господарювання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найуспішніших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 країн 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>світу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75AB">
        <w:rPr>
          <w:rFonts w:ascii="Times New Roman" w:hAnsi="Times New Roman" w:cs="Times New Roman"/>
          <w:sz w:val="24"/>
          <w:szCs w:val="24"/>
        </w:rPr>
        <w:t xml:space="preserve">UTR: https:// </w:t>
      </w:r>
      <w:hyperlink r:id="rId8" w:history="1"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www.ukrinform.ua/rubric-world/2012230-svitovi-modeli-pidtrimki-silskogo-gospodarstva.html</w:t>
        </w:r>
      </w:hyperlink>
    </w:p>
    <w:p w:rsidR="00140A09" w:rsidRPr="00DA249C" w:rsidRDefault="008E74DA" w:rsidP="006D0DCB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5AB">
        <w:rPr>
          <w:rFonts w:ascii="Times New Roman" w:hAnsi="Times New Roman" w:cs="Times New Roman"/>
          <w:sz w:val="24"/>
          <w:szCs w:val="24"/>
          <w:lang w:val="ru-RU"/>
        </w:rPr>
        <w:t>Кордзая Н.Р. Забезпечення продовольчої безпеки регіону в умовах сталого розвитку: теорія, методологія, практика: дис…докт. екон. наук: 08.00.05. Одеса,</w:t>
      </w:r>
      <w:r w:rsidR="006D0DCB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  <w:lang w:val="ru-RU"/>
        </w:rPr>
        <w:t xml:space="preserve">2021. </w:t>
      </w:r>
      <w:r w:rsidR="00140A09" w:rsidRPr="00DA249C">
        <w:rPr>
          <w:rFonts w:ascii="Times New Roman" w:hAnsi="Times New Roman" w:cs="Times New Roman"/>
          <w:sz w:val="24"/>
          <w:szCs w:val="24"/>
          <w:lang w:val="ru-RU"/>
        </w:rPr>
        <w:t xml:space="preserve">478 </w:t>
      </w:r>
      <w:r w:rsidR="00140A09" w:rsidRPr="00D975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40A09" w:rsidRPr="00DA24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DCB" w:rsidRPr="00D975AB">
        <w:rPr>
          <w:rFonts w:ascii="Times New Roman" w:hAnsi="Times New Roman" w:cs="Times New Roman"/>
          <w:sz w:val="24"/>
          <w:szCs w:val="24"/>
        </w:rPr>
        <w:t>UTR</w:t>
      </w:r>
      <w:r w:rsidR="006D0DCB" w:rsidRPr="00DA249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D0DCB"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onaft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download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dissertation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thesis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/2021/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Disser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Kordzaya</w:t>
        </w:r>
        <w:r w:rsidR="00140A09" w:rsidRPr="00DA249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40A09" w:rsidRPr="00D975AB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</w:p>
    <w:p w:rsidR="008E74DA" w:rsidRPr="00D975AB" w:rsidRDefault="008E74DA" w:rsidP="006D0DCB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75AB">
        <w:rPr>
          <w:rFonts w:ascii="Times New Roman" w:hAnsi="Times New Roman" w:cs="Times New Roman"/>
          <w:sz w:val="24"/>
          <w:szCs w:val="24"/>
        </w:rPr>
        <w:t>Malatinec T. EU agrarian policy legal framework as a part of the EU development practice. 2015. Food and Agriculture Organization of the United Nations: Website.URL:http://agris.fao.org/agrissearch/search.do;jsessionid=DA20E35183CFBAFB1019F588 052E6817?request_locale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</w:rPr>
        <w:t>&amp;record</w:t>
      </w: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75AB">
        <w:rPr>
          <w:rFonts w:ascii="Times New Roman" w:hAnsi="Times New Roman" w:cs="Times New Roman"/>
          <w:sz w:val="24"/>
          <w:szCs w:val="24"/>
        </w:rPr>
        <w:t>ID=SK2016014064</w:t>
      </w:r>
    </w:p>
    <w:p w:rsidR="008E74DA" w:rsidRPr="00D975AB" w:rsidRDefault="008E74DA" w:rsidP="00457B1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5AB">
        <w:rPr>
          <w:rFonts w:ascii="Times New Roman" w:hAnsi="Times New Roman" w:cs="Times New Roman"/>
          <w:sz w:val="24"/>
          <w:szCs w:val="24"/>
          <w:lang w:val="uk-UA"/>
        </w:rPr>
        <w:t xml:space="preserve">Білоусова Н. АgroРolit.соm </w:t>
      </w:r>
      <w:r w:rsidRPr="00D975AB">
        <w:rPr>
          <w:rFonts w:ascii="Times New Roman" w:hAnsi="Times New Roman" w:cs="Times New Roman"/>
          <w:sz w:val="24"/>
          <w:szCs w:val="24"/>
        </w:rPr>
        <w:t>URL:</w:t>
      </w:r>
      <w:hyperlink r:id="rId10" w:history="1">
        <w:r w:rsidRPr="00D975A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975A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agropolit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spetsproekty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/909-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agrariyi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otrimali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z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byudjetu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-15-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mlrd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grn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dotatsiy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za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-2021-</w:t>
        </w:r>
        <w:r w:rsidRPr="00D975AB">
          <w:rPr>
            <w:rStyle w:val="a4"/>
            <w:rFonts w:ascii="Times New Roman" w:hAnsi="Times New Roman" w:cs="Times New Roman"/>
            <w:sz w:val="24"/>
            <w:szCs w:val="24"/>
          </w:rPr>
          <w:t>rik</w:t>
        </w:r>
      </w:hyperlink>
    </w:p>
    <w:p w:rsidR="008E74DA" w:rsidRPr="00D975AB" w:rsidRDefault="008E74DA" w:rsidP="008E74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4DA" w:rsidRPr="008E74DA" w:rsidRDefault="008E74DA" w:rsidP="008E74D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E74DA" w:rsidRPr="008E74DA" w:rsidSect="000463A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67C"/>
    <w:multiLevelType w:val="hybridMultilevel"/>
    <w:tmpl w:val="A3EC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8B"/>
    <w:multiLevelType w:val="multilevel"/>
    <w:tmpl w:val="7D3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25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E166A"/>
    <w:multiLevelType w:val="hybridMultilevel"/>
    <w:tmpl w:val="45F0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94B42"/>
    <w:multiLevelType w:val="hybridMultilevel"/>
    <w:tmpl w:val="CCC6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2BA"/>
    <w:multiLevelType w:val="hybridMultilevel"/>
    <w:tmpl w:val="1A3614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421F4D"/>
    <w:multiLevelType w:val="hybridMultilevel"/>
    <w:tmpl w:val="8E0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72"/>
    <w:rsid w:val="0000373D"/>
    <w:rsid w:val="00017FF5"/>
    <w:rsid w:val="0003332D"/>
    <w:rsid w:val="00044187"/>
    <w:rsid w:val="000463A2"/>
    <w:rsid w:val="00054054"/>
    <w:rsid w:val="00055394"/>
    <w:rsid w:val="000660C4"/>
    <w:rsid w:val="000666AE"/>
    <w:rsid w:val="00075FFB"/>
    <w:rsid w:val="000922D2"/>
    <w:rsid w:val="000B421A"/>
    <w:rsid w:val="000B5259"/>
    <w:rsid w:val="000B5BA2"/>
    <w:rsid w:val="000C3EA4"/>
    <w:rsid w:val="000C5FA0"/>
    <w:rsid w:val="000D012C"/>
    <w:rsid w:val="000F68CE"/>
    <w:rsid w:val="00131DFC"/>
    <w:rsid w:val="00140A09"/>
    <w:rsid w:val="00141437"/>
    <w:rsid w:val="001426AB"/>
    <w:rsid w:val="00170779"/>
    <w:rsid w:val="00180631"/>
    <w:rsid w:val="001D0E3F"/>
    <w:rsid w:val="001F63F8"/>
    <w:rsid w:val="001F7D99"/>
    <w:rsid w:val="002356AF"/>
    <w:rsid w:val="00240CF9"/>
    <w:rsid w:val="002966D8"/>
    <w:rsid w:val="002A0FD5"/>
    <w:rsid w:val="002A3D33"/>
    <w:rsid w:val="002B09C3"/>
    <w:rsid w:val="002C70D1"/>
    <w:rsid w:val="002C7CD3"/>
    <w:rsid w:val="00352EE6"/>
    <w:rsid w:val="00356934"/>
    <w:rsid w:val="00360BE7"/>
    <w:rsid w:val="003661D1"/>
    <w:rsid w:val="00370776"/>
    <w:rsid w:val="00390546"/>
    <w:rsid w:val="00393C1C"/>
    <w:rsid w:val="003A59B4"/>
    <w:rsid w:val="003C0F7B"/>
    <w:rsid w:val="003C48D9"/>
    <w:rsid w:val="003C7408"/>
    <w:rsid w:val="00413BB7"/>
    <w:rsid w:val="004437F1"/>
    <w:rsid w:val="00457567"/>
    <w:rsid w:val="00457B17"/>
    <w:rsid w:val="004760FC"/>
    <w:rsid w:val="004959E3"/>
    <w:rsid w:val="00496112"/>
    <w:rsid w:val="004A5724"/>
    <w:rsid w:val="004D046A"/>
    <w:rsid w:val="004D1800"/>
    <w:rsid w:val="004F583B"/>
    <w:rsid w:val="00505D70"/>
    <w:rsid w:val="00523D90"/>
    <w:rsid w:val="00524081"/>
    <w:rsid w:val="00535F63"/>
    <w:rsid w:val="005454A0"/>
    <w:rsid w:val="00553422"/>
    <w:rsid w:val="00563314"/>
    <w:rsid w:val="0057137B"/>
    <w:rsid w:val="005905DE"/>
    <w:rsid w:val="00593D46"/>
    <w:rsid w:val="005C1B61"/>
    <w:rsid w:val="005C32C5"/>
    <w:rsid w:val="005E6FD3"/>
    <w:rsid w:val="005F3C1C"/>
    <w:rsid w:val="005F4F1C"/>
    <w:rsid w:val="00625818"/>
    <w:rsid w:val="006B1BD4"/>
    <w:rsid w:val="006B5125"/>
    <w:rsid w:val="006D0DCB"/>
    <w:rsid w:val="006E63CA"/>
    <w:rsid w:val="00705ECA"/>
    <w:rsid w:val="007077B2"/>
    <w:rsid w:val="00726A37"/>
    <w:rsid w:val="00746B97"/>
    <w:rsid w:val="007524D3"/>
    <w:rsid w:val="007534DF"/>
    <w:rsid w:val="007B09FE"/>
    <w:rsid w:val="007B1787"/>
    <w:rsid w:val="007B4F39"/>
    <w:rsid w:val="007D16ED"/>
    <w:rsid w:val="007D2927"/>
    <w:rsid w:val="007D2AFD"/>
    <w:rsid w:val="007E42D9"/>
    <w:rsid w:val="007F2E6E"/>
    <w:rsid w:val="00800F45"/>
    <w:rsid w:val="00806B35"/>
    <w:rsid w:val="00812E99"/>
    <w:rsid w:val="008417C4"/>
    <w:rsid w:val="00895138"/>
    <w:rsid w:val="008D113F"/>
    <w:rsid w:val="008D39EC"/>
    <w:rsid w:val="008E1C99"/>
    <w:rsid w:val="008E74DA"/>
    <w:rsid w:val="00904014"/>
    <w:rsid w:val="00915BA2"/>
    <w:rsid w:val="009551C2"/>
    <w:rsid w:val="009653AC"/>
    <w:rsid w:val="00973DD5"/>
    <w:rsid w:val="00976B83"/>
    <w:rsid w:val="0099188D"/>
    <w:rsid w:val="009B3A98"/>
    <w:rsid w:val="009C3F39"/>
    <w:rsid w:val="009D2CC4"/>
    <w:rsid w:val="009D4664"/>
    <w:rsid w:val="009E3C5E"/>
    <w:rsid w:val="00A16225"/>
    <w:rsid w:val="00A26C88"/>
    <w:rsid w:val="00A51E8E"/>
    <w:rsid w:val="00A52732"/>
    <w:rsid w:val="00A54CAF"/>
    <w:rsid w:val="00A55672"/>
    <w:rsid w:val="00A923C2"/>
    <w:rsid w:val="00AA7C2E"/>
    <w:rsid w:val="00AB010C"/>
    <w:rsid w:val="00AB3775"/>
    <w:rsid w:val="00AB39E7"/>
    <w:rsid w:val="00AC79AD"/>
    <w:rsid w:val="00B10682"/>
    <w:rsid w:val="00BA728A"/>
    <w:rsid w:val="00BA754B"/>
    <w:rsid w:val="00BC1406"/>
    <w:rsid w:val="00BC2CE2"/>
    <w:rsid w:val="00BD280C"/>
    <w:rsid w:val="00BD33AD"/>
    <w:rsid w:val="00BD572E"/>
    <w:rsid w:val="00BE3D29"/>
    <w:rsid w:val="00BF21B5"/>
    <w:rsid w:val="00BF549F"/>
    <w:rsid w:val="00C07159"/>
    <w:rsid w:val="00C409A4"/>
    <w:rsid w:val="00C61E4D"/>
    <w:rsid w:val="00CB2AD9"/>
    <w:rsid w:val="00CC01D0"/>
    <w:rsid w:val="00CE176D"/>
    <w:rsid w:val="00D03899"/>
    <w:rsid w:val="00D37041"/>
    <w:rsid w:val="00D44C36"/>
    <w:rsid w:val="00D975AB"/>
    <w:rsid w:val="00DA249C"/>
    <w:rsid w:val="00DC29C2"/>
    <w:rsid w:val="00DD2E30"/>
    <w:rsid w:val="00DE730A"/>
    <w:rsid w:val="00DF126E"/>
    <w:rsid w:val="00E17A7D"/>
    <w:rsid w:val="00E249A8"/>
    <w:rsid w:val="00E32A32"/>
    <w:rsid w:val="00E51852"/>
    <w:rsid w:val="00E55A12"/>
    <w:rsid w:val="00E6110E"/>
    <w:rsid w:val="00E6146C"/>
    <w:rsid w:val="00E67E3E"/>
    <w:rsid w:val="00E76F53"/>
    <w:rsid w:val="00E80C6B"/>
    <w:rsid w:val="00E84096"/>
    <w:rsid w:val="00E84772"/>
    <w:rsid w:val="00E84BCE"/>
    <w:rsid w:val="00EB6114"/>
    <w:rsid w:val="00EF0AFC"/>
    <w:rsid w:val="00EF415D"/>
    <w:rsid w:val="00F244EA"/>
    <w:rsid w:val="00F36C66"/>
    <w:rsid w:val="00F56A75"/>
    <w:rsid w:val="00F84AB4"/>
    <w:rsid w:val="00F91769"/>
    <w:rsid w:val="00FA4B9F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72"/>
  </w:style>
  <w:style w:type="paragraph" w:styleId="1">
    <w:name w:val="heading 1"/>
    <w:basedOn w:val="a"/>
    <w:next w:val="a"/>
    <w:link w:val="10"/>
    <w:uiPriority w:val="9"/>
    <w:qFormat/>
    <w:rsid w:val="00EF4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2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9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454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F4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72"/>
  </w:style>
  <w:style w:type="paragraph" w:styleId="1">
    <w:name w:val="heading 1"/>
    <w:basedOn w:val="a"/>
    <w:next w:val="a"/>
    <w:link w:val="10"/>
    <w:uiPriority w:val="9"/>
    <w:qFormat/>
    <w:rsid w:val="00EF4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2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9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454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F4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inform.ua/rubric-world/2012230-svitovi-modeli-pidtrimki-silskogo-gospodarst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nk.tv/news/economics/dopomoha_ahrariiam_u_minekonomiky_rozpovily_pro_prohramy_i_nazvaly_tsyfry_10053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ood-farming-fisheries/keypolicies/common-agricultural-policy_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opolit.com/spetsproekty/909-agrariyi-otrimali-z-byudjetu-15-mlrd-grn-dotatsiy-za-2021-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aft.edu.ua/download/dissertation/thesis/2021/Disser-Kordz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dcterms:created xsi:type="dcterms:W3CDTF">2021-09-26T15:29:00Z</dcterms:created>
  <dcterms:modified xsi:type="dcterms:W3CDTF">2021-10-21T12:10:00Z</dcterms:modified>
</cp:coreProperties>
</file>