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74" w:rsidRDefault="00E46574" w:rsidP="00E4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ВСТУП ДО РОЗДІЛУ 1. </w:t>
      </w: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Однією з найважливіших і невід’ємних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структур ринкової економіки є банківська система.</w:t>
      </w: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Для успішного здійснення управлінської діяльності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в банківській системі необхідно мати чітке уявлення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про структуру організації, взаємодії її складових частин і зв’язках організації із зовнішнім середовищем.</w:t>
      </w: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На сучасному етапі розвитку банківського сектору актуальним завданням є побудова моделей, що враховують різні аспекти діяльності банку.</w:t>
      </w: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Надзвичайно важливим на сьогодні є конкурентоспроможність, яка неможлива без наявності кваліфікованого персоналу та його відданості своїй справі.</w:t>
      </w: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Кваліфікований персонал повинен відповідати низці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вимог – це не лише володіти відповідним набором навичок, кваліфікацією та досвідом роботи, але і бути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креативним та активним учасником організаційної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структури. Не є винятком і персонал банківських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установ.</w:t>
      </w: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Моделювання – дієвий інструментарій, що дозволяє пояснювати і прогнозувати досліджуваний спостережуваний об’єкт. Саме тому питанню моделювання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управлінських процесів відводиться така вагома роль.</w:t>
      </w: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Проблемами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моделювання управлінських процесів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присвячені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роботи зарубіжних учених – А.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Демодорана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М. Х.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Мескон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Неймана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, Л.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Планкетт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, Г.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Хейла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Моргентейна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, П. Скотта, М.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Еддоуса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, Р.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Стенсфілда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К. Г.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Корлі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Воллі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. Р.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Баума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З вітчизняних фахівців, які займалися вивченням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моделювання в управлінні, можна відзначити роботи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К. А.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Багріновського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>, Є. В. Бережного, В. І. Бережного,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В. Г.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Болтянською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, А. С.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Большакова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>, В. П. Бусигіна,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Г. К.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Жданової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, Я. Г.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Неуйміна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>, А. І. Орлова, Г. П. Фоміна та ін.</w:t>
      </w: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Крім того, слід ураховувати, що роботи зарубіжних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учених не завжди можливо або достатньо важко адаптувати до сучасного стану банківської системи нашої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країни, оскільки переважна більшість фінансово-економічних показників та алгоритмів їх розрахунку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співвідносяться з вітчизняною методологією аналізу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діяльності банків.</w:t>
      </w: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Інформаційні системи в банківській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системі України поступово перейшли від механізованої обробки інформації до комплексної автоматизації,</w:t>
      </w: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від централізованої до розподіленої обробки даних.</w:t>
      </w: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Як і будь-яка система, банківська система може бути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представлена як певна сукупність підсистем. До її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складу входять забезпечувальні та функціональні підсистеми. Забезпечувальні підсистеми об’єднують усі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види ресурсів, які необхідні для функціонування банківської системи. До їх складу відносять такі підсистеми: інформаційного, програмного, математичного,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технічного, лінгвістичного та організаційно-правового забезпечення.</w:t>
      </w:r>
    </w:p>
    <w:p w:rsidR="00E46574" w:rsidRDefault="00E46574" w:rsidP="00E465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Функціональні підсистеми об’єднують блоки,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комплекси та окремі задачі, які реалізують певні банківські функції.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Перелік функцій, які реалізуються банківською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системою, можна розділити на дві частини: обов’язкові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і допоміжні. До перших слід віднести ті функції, які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мають місце в будь-якому банку, набір допоміжних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функцій залежить від спеціалізації банку.</w:t>
      </w: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Математичне моделювання управлінських процесів у банківській системі передбачає вибір найбільш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раціонального математичного методу для розв’язування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задачі. Модель повинна враховувати стільки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елементів і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>, щоб досить точно відобразити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фінансову реальність, а результати рішень були корисні керівникові, що приймає планові рішення, і вирішуватися доступними фінансистові математичними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методами, програмними і комп’ютерними засобами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прийнятний термін.</w:t>
      </w: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Сучасні методики діагностики фінансового стану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банку базуються на вивченні, систематизації та опрацюванні великого обсягу інформації, що міститься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офіційній банківської звітності. Крім того, алгоритми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розрахунків показників досить громіздкі і не завжди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очевидні, тому підсумкові дані не можуть повною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мірою доступно і наочно характеризувати фінансову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стійкість кредитної організації.</w:t>
      </w:r>
    </w:p>
    <w:p w:rsidR="00E46574" w:rsidRDefault="00E46574" w:rsidP="00E4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РОЗДІЛ 1. ЕКОНОМІКО-МАТЕМАТИЧНЕ МОДЕЛЮВАННЯ ДІЯЛЬНОСТІ БАНКІВСЬКИХ СИСТЕМ У СУЧАСНІЙ РИНКОВІЙ ЕКОНОМІЦІ:МЕТОДИ ТА МОДЕЛІ.</w:t>
      </w:r>
    </w:p>
    <w:p w:rsidR="00E46574" w:rsidRDefault="00E46574" w:rsidP="00E4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 Теоретичні аспекти моделювання сучасної банківської системи.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Математичне моделювання у сфері банківської діяльності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досить важко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 піддається науковій формалізації процесів. Спроби виділити загальні принципи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створення математичних моделей, що вживали неодноразово,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призводили або до декларування агрегованих рекомендацій досить загального характеру, які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важко використовувати на практиці, або, навпаки,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появи результатів, які можна застосувати в дійсності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тільки до досить вузького кола специфічних завдань.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У банківській сфері традиційними є стохастичні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і детерміновані моделі, а також моделі на основі теорії нечітких множин. Симбіоз цих підходів дозволяє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побудувати найбільш адекватну модель діяльності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банку.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Моделювання процесів управління передбачає послідовне здійснення трьох етапів дослідження. Перший – від вихідної практичної проблеми до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теоретич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ної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 суто математичної задачі. Другий –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внутріматематичне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 вивчення та вирішення цього завдання. Третій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– перехід від математичних висновків назад до практичної проблеми [2].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Завдання, як правило, породжено потребами тієї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чи іншої прикладної області. Цілком зрозуміло, що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при цьому відбувається одна з можливих математичних формалізацій реальної ситуації.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Для вирішення того чи іншого завдання 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однієї і тієї ж прийнятої дослідником моделі може бути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запропоновано багато методів. Методологічний аналіз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– перший етап моделювання процесів управління, та 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узагалі будь-якого дослідження. Він визначає вихідні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постановки для теоретичної опрацювання, а тому багато в чому і успіх усього дослідження [4].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У процесі перетворення інформації для управлінських цілей часто використовується такий метод наочної інтерпретації, як моделювання елементів інформації.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Моделювання дозволяє умовно відобразити реальні об’єкти і процеси за допомогою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мовних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>, графічних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та інших засобів, аби полегшити сприймання та аналіз їх людиною. Моделі допомагають абстрагуватись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від деталей і усвідомлювати проблеми. Будувати економічні моделі на сучасних комп’ютерах можна виключно на базі економічної інформації кодуванням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її і подальшим перетворенням, з використанням аналітичних, статистичних, математичних, графічних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інших методів. Саме зберігання даних про економічний об’єкт із певними їхніми зв’язками в комп’ютерах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вимагає застосування відповідних моделей.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Концептуальна модель передбачає детальний словесний опис кінцевих документів, виділення головних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даних у кожному з них і встановлення функціональних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 між даними кожного документа і самими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документами. При проектуванні концептуальної моделі всі зусилля спрямовуються, головним чином,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структуризацію даних і виявлення функціональних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 між ними. Концептуальна модель – це опис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предметної області і її метою є створити достатньо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точне та повне відображення реального об’єкта інформації для подальшого використання</w:t>
      </w:r>
      <w:r w:rsidRPr="004F3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Основою створення концептуальної моделі є чотири правила нормалізації відношень. Процес виявлення об’єктів та їхніх взаємних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 за допомогою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концепції релятивної моделі і табличного надання даних називається процесом нормалізації. При нормалізації елементи даних групуються в таблиці, визначальні об’єкти і їхні взаємозв’язки.</w:t>
      </w:r>
    </w:p>
    <w:p w:rsidR="00E46574" w:rsidRDefault="00E46574" w:rsidP="00E46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Правило 1 (унікальність полів): кожне поле будь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4F3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якої таблиці повинне бути унікальним.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На першому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етапі нормалізації з даних створюються двовимірні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таблиці (таблиці в першій нормальній формі). Водночас виключаються надлишкові дані. На перетині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рядка і колонки може бути тільки одне значення. Існування кількох значень не допускається. Протилежне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засвідчує те, що значення первинного ключа неоднозначно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визначає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ключові атрибути. Необхідно базу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даних створювати таким чином, щоб атрибути даних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записувались тільки один раз, інакше можуть виникнути труднощі і помилки. Залежність одних даних від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інших повинна бути скорочена до мінімуму. Перше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правило нормалізації вимагає звільнитися від повторюваних полів. Це досягається, наприклад, усуненням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неоднозначного представлення інформації або застосуванням її кодування і переміщенням інформації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іншу таблицю. При цьому значно скорочується загальний обсяг даних, які зберігаються. Реляційні бази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даних чудово пристосовані для підтримки таких прийомів проектування, оскільки вони мають потужні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засоби для об’єднання зв’язаної інформації.</w:t>
      </w:r>
    </w:p>
    <w:p w:rsidR="00E46574" w:rsidRDefault="00E46574" w:rsidP="00E46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Правило 2 (первинні ключі): кожен запис таблиці повинен мати унікальний ідентифікатор, або первинний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ключ, який може складатися з одного або кількох полів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таблиці.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При зведенні відношень першої нормальної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форми до другої досліджуються залежності неключових атрибутів від ключових. База даних добре спроектована тоді, коли кожний запис у будь-якій таблиці 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унікальним. Це означає, що в таблиці не повинно бути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двох однакових рядків. Наприклад, немає потреби зберігати два записи, якщо вони мають одну й ту ж саму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інформацію про одного й того ж клієнта. Якщо одне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поле не є унікальним для запису, то можна використати два поля таблиці, інформація яких може слугувати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первинним ключем для цієї таблиці. На другому етапі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нормалізації всі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ключові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атрибути повинні повністю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залежати від первинного ключа (таблиці у другій нормальній формі). Усі відношення у другій нормальній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формі одночасно є відношеннями і в першій.</w:t>
      </w:r>
    </w:p>
    <w:p w:rsidR="00E46574" w:rsidRDefault="00E46574" w:rsidP="00E46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Правило 3 (функціональна залежність): для кожного значення первинного ключа спостерігається одне,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 тільки одне значення будь-якого зі стовпців даних, 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 значення повинно належати до об’єкта таблиці.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третьому етапі нормалізації має бути усунена транзитивна функціональна залежність між атрибутами даних (таблиці у третій нормальній формі). Це означає,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що досліджуються залежності між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ключовими атрибутами. Після визначення для кожної таблиці первинного ключа перевіряється, чи таблиця має всю інформацію, що належить до об’єкта. Щодо проектування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реляційних баз даних перевіряється, чи є функціональна залежність кожного з полів таблиці від первинного ключа. Це правило використовується двояко. По-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перше, у таблиці не повинно бути даних, які не належать до об’єкта, що визначається первинним ключем.</w:t>
      </w:r>
    </w:p>
    <w:p w:rsidR="00E46574" w:rsidRDefault="00E46574" w:rsidP="00E46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Правило 4 (незалежність полів): можна змінювати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значення будь-якого поля (що не входить у первинний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ключ), і це не повинно спричинювати необхідність змінювати інші поля. 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Це останнє правило дозволяє перевірити, чи виникають проблеми, якщо потрібно змінити дані. У результаті нормалізації буде одержано ряд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відношень, що лежать у четвертій нормальній формі.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Ці таблиці і являють собою концептуальну модель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предметної області. Інший спосіб перевірки незалежності полів – це перевірка, чи не повторюється одна 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та ж інформація в деяких записах, згідно з таблицею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відповідності між елементами даних і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документамиджерелами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, в яких вони використовуються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відповідною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формою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. Аналіз такої таблиці допоможе скоротити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кількість даних шляхом виключення зайвих елементів.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Логічна модель предметної області передбачає створення простих таблиць і об’єднання їх за ключем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урахування особливостей використовуваної СУБД,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датологічна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 (внутрішня) модель – з урахуванням використовуваних СУБД, програмних і технічних засобів.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Фізична модель предметної області полягає у відображенні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датологічної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 моделі в середовищі зберігання інформації з урахуванням можливостей СУБД і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фізичної організації даних. При цьому обираються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методи доступу, розміри елементів запису і т. п. Параметрами оцінки фізичної моделі є обсяг необхідної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пам’яті, час для виконання запитів. Інтегрований показник оцінки бази даних – вартість обробки даних.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29">
        <w:rPr>
          <w:rFonts w:ascii="Times New Roman" w:hAnsi="Times New Roman" w:cs="Times New Roman"/>
          <w:color w:val="000000"/>
          <w:sz w:val="28"/>
          <w:szCs w:val="28"/>
        </w:rPr>
        <w:t>Ці ж правила ми застосовували і для моделі управління персоналом. Отримані результати зображені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графічно. Вважається, що основним фактором, який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визначає ефективність персоналу, є його компетенція,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 xml:space="preserve">а саме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індивідуальний набір і комбінація знань, уміння та навичок, а також якостей особистості, які ведуть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її до успіху. Надзвичайно важливо обрати саме ті ком-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F3129">
        <w:rPr>
          <w:rFonts w:ascii="Times New Roman" w:hAnsi="Times New Roman" w:cs="Times New Roman"/>
          <w:color w:val="000000"/>
          <w:sz w:val="28"/>
          <w:szCs w:val="28"/>
        </w:rPr>
        <w:t>петенції</w:t>
      </w:r>
      <w:proofErr w:type="spellEnd"/>
      <w:r w:rsidRPr="004F3129">
        <w:rPr>
          <w:rFonts w:ascii="Times New Roman" w:hAnsi="Times New Roman" w:cs="Times New Roman"/>
          <w:color w:val="000000"/>
          <w:sz w:val="28"/>
          <w:szCs w:val="28"/>
        </w:rPr>
        <w:t>, які є запорукою успіху. Варто виділити такі: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навички роботи в команді, комунікаційні навички,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лідерство, збір інформації, аналітичні навички, прийняття рішень, мотивація, обізнаність зі стандартами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29">
        <w:rPr>
          <w:rFonts w:ascii="Times New Roman" w:hAnsi="Times New Roman" w:cs="Times New Roman"/>
          <w:color w:val="000000"/>
          <w:sz w:val="28"/>
          <w:szCs w:val="28"/>
        </w:rPr>
        <w:t>якості. Саме наявність або відсутність таких індикаторів стосовно компетенції і визначають успіх персоналу та установи загалом.</w:t>
      </w: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4F312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F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B7FC9">
        <w:rPr>
          <w:rFonts w:ascii="Times New Roman" w:hAnsi="Times New Roman" w:cs="Times New Roman"/>
          <w:b/>
          <w:sz w:val="28"/>
          <w:szCs w:val="28"/>
        </w:rPr>
        <w:t xml:space="preserve">  Оптимізація інвестиційного портфеля комерційної </w:t>
      </w:r>
      <w:r>
        <w:rPr>
          <w:rFonts w:ascii="Times New Roman" w:hAnsi="Times New Roman" w:cs="Times New Roman"/>
          <w:b/>
          <w:sz w:val="28"/>
          <w:szCs w:val="28"/>
        </w:rPr>
        <w:t xml:space="preserve"> банківської </w:t>
      </w:r>
      <w:r w:rsidRPr="00AB7FC9">
        <w:rPr>
          <w:rFonts w:ascii="Times New Roman" w:hAnsi="Times New Roman" w:cs="Times New Roman"/>
          <w:b/>
          <w:sz w:val="28"/>
          <w:szCs w:val="28"/>
        </w:rPr>
        <w:t xml:space="preserve">структури методом </w:t>
      </w:r>
      <w:proofErr w:type="spellStart"/>
      <w:r w:rsidRPr="00AB7FC9">
        <w:rPr>
          <w:rFonts w:ascii="Times New Roman" w:hAnsi="Times New Roman" w:cs="Times New Roman"/>
          <w:b/>
          <w:sz w:val="28"/>
          <w:szCs w:val="28"/>
        </w:rPr>
        <w:t>М.Марковіца</w:t>
      </w:r>
      <w:proofErr w:type="spellEnd"/>
      <w:r w:rsidRPr="00AB7FC9">
        <w:rPr>
          <w:rFonts w:ascii="Times New Roman" w:hAnsi="Times New Roman" w:cs="Times New Roman"/>
          <w:b/>
          <w:sz w:val="28"/>
          <w:szCs w:val="28"/>
        </w:rPr>
        <w:t>.</w:t>
      </w: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 xml:space="preserve">Процеси прийняття рішень під час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управлінняпроектами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відбуваються, як правило, в умовах впливу в тій чи іншій мірі невизначеності, що визначається такими факторами [1]:</w:t>
      </w: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>– неповним знанням всіх параметрів, умов, ситуації для вибору оптимального рішення, а також неможливістю адекватного і точного врахування всієї, навіть доступної, інформації та присутністю імовірнісних характеристик поводження середовища;</w:t>
      </w: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 xml:space="preserve">– наявністю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фактора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випадковості, тобто реалізацією факторів, які неможливо передбачити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таспрогнозувати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навіть під час імовірнісної реалізації;</w:t>
      </w: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 xml:space="preserve">– наявністю суб’єктивних факторів протидії,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колиприйняття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рішень виконується в ситуації гри з партнером з протилежними або не співпадаючими інтересами.</w:t>
      </w: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>Ризик є одним із засобів зняття невизначеності, яка являє собою незнання достовірного, відсутність однозначності [2]. Ризик – діяльність, що пов’язана із подоланням невизначеності в ситуації неминучого вибору, в процесі якої є можливість кількісно та якісно оцінити імовірність досягнення передбачуваного результату, невдачі та відхилення від цілей [3].</w:t>
      </w: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 xml:space="preserve">В даній роботі розглянемо способи оцінки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ризикув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процесі оптимізації інвестиційного портфеля (ІП).</w:t>
      </w: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>ІП [4] – сукупність цінних паперів (ЦП), що розглядаються під час управління як єдине ціле. Під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>формування ІП інвестор повинен:</w:t>
      </w: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>– обрати адекватні ЦП, тобто такі, які б надавали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>максимально можливу дохідність та мінімально допустимий ризик;</w:t>
      </w: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>– визначити, в ЦП яких емітентів варто вкладати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>кошти;</w:t>
      </w: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>– диверсифікувати ІП: інвестору потрібно вкладати гроші в різноманітні ЦП, а не в один їх вид, з метою зниження ризику вкладів.</w:t>
      </w: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>Під час вибору ІП важливо правильно оцінити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>майбутні ризики, адже від обраних фінансових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>інструментів прямо залежить дохідність затрачених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>ресурсів. Невірна оцінка ризиків може призвести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 xml:space="preserve">зменшення прибутку, який можна було б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отримати,або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в крайньому випадку до збитків. Тому інвестору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 xml:space="preserve">важливо обрати той підхід, який би, зважаючи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наконкретні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умови застосування, дозволив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найбільшефективним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шляхом вкласти наявні кошти в інвестиції. Виходячи з цього, актуальною проблемою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 xml:space="preserve">аналіз існуючих моделей оптимізації ІП щодо засобів оцінки ризиків в них, а також визначення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умовзастосування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тієї чи іншої моделі та 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>задач подальшого дослідження проблеми.</w:t>
      </w:r>
      <w:r w:rsidRPr="00AB7FC9">
        <w:rPr>
          <w:rFonts w:ascii="Times New Roman" w:hAnsi="Times New Roman" w:cs="Times New Roman"/>
          <w:sz w:val="28"/>
          <w:szCs w:val="28"/>
        </w:rPr>
        <w:br w:type="page"/>
      </w: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F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ОЦІНКА РИЗИКУ В МОДЕЛІ МАРКОВІЦА</w:t>
      </w: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 xml:space="preserve">Класичною методикою оптимізації ІП є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модельГ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Марковіца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[5]. В ній за міру ризику прийнято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>стандартне відхилення величини дохідності. 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>більше значення даного показника, тим більш ризикованим буде портфель.</w:t>
      </w: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 xml:space="preserve">В своїх дослідженнях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Марковіц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виходив з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того,що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значення дохідності ЦП – випадкові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величини,що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розподілені за нормальним (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Гауссівським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) законом. Він вважав, що, формуючи свій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портфель,інвестор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оцінює тільки два показника: очікувану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 xml:space="preserve">дохідність </w:t>
      </w:r>
      <w:r w:rsidRPr="00AB7FC9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AB7FC9">
        <w:rPr>
          <w:rFonts w:ascii="Times New Roman" w:hAnsi="Times New Roman" w:cs="Times New Roman"/>
          <w:sz w:val="28"/>
          <w:szCs w:val="28"/>
        </w:rPr>
        <w:t>(</w:t>
      </w:r>
      <w:r w:rsidRPr="00AB7FC9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AB7FC9">
        <w:rPr>
          <w:rFonts w:ascii="Times New Roman" w:hAnsi="Times New Roman" w:cs="Times New Roman"/>
          <w:sz w:val="28"/>
          <w:szCs w:val="28"/>
        </w:rPr>
        <w:t xml:space="preserve">) та стандартне відхилення δ (лише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вонивизначають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щільність ймовірності випадкових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чиселза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умов нормального розподілу). Інвестор повинен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>оцінити дохідність та стандартне відхилення кожного портфеля і вибрати такий портфель, який забезпечує максимальну дохідність при прийнятному рівні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>ризику або мінімальний ризик при заданому рівні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>очікуваної дохідності.</w:t>
      </w: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 xml:space="preserve">Визначаючи ризик портфеля, варто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враховувати,що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дисперсія портфеля визначається не тільки середньозваженою величиною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дисперсій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ЦП, що входять в портфель. Це обумовлено тим, що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дисперсіяпортфеля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залежить не тільки від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дисперсій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ЦП,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щовходять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до його складу, але також і від взаємозалежності дохідності окремих ЦП. Тобто ризик портфеля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>вимірюється не тільки індивідуальним ризиком кожної окремої ЦП портфеля, але і тим, що існує ризик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>впливу змін щорічних величин дохідності однієї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 xml:space="preserve">акції на зміни дохідності інших акцій, що входять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доскладу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ІП.</w:t>
      </w: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 xml:space="preserve">Як міру взаємозалежності двох випадкових величин використовують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коваріацію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та коефіцієнт кореляції. Позитивне значення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коваріації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– індикатор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 xml:space="preserve">тенденції зміни дохідності двох ЦП в одних і тих самих напрямках, тобто якщо дохідність однієї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акціїзбільшується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(зменшується), то і дохідність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іншоїакції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також збільшується (зменшується).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Негативнаковаріація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свідчить відповідно про те, що збільшення(зменшення) дохідності акцій однієї компанії призводить до зниження (збільшення) дохідності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акційіншої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компанії.</w:t>
      </w: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>Якщо розглядаються величини дохідності ЦП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 xml:space="preserve">минулі періоди, то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коваріація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розраховується за такою формулою: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i.j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j.i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\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N-1</m:t>
                    </m:r>
                  </m:e>
                </m:d>
              </m:e>
            </m:d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>,                             (1.1)</w:t>
      </w:r>
    </w:p>
    <w:p w:rsidR="00E46574" w:rsidRPr="00FA5AC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>де – δ</w:t>
      </w:r>
      <w:proofErr w:type="spellStart"/>
      <w:r w:rsidRPr="00AB7F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B7FC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,</w:t>
      </w:r>
      <w:r w:rsidRPr="00AB7F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коваріація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між величинами дохідності ЦП </w:t>
      </w:r>
      <w:r w:rsidRPr="00AB7FC9">
        <w:rPr>
          <w:rFonts w:ascii="Times New Roman" w:hAnsi="Times New Roman" w:cs="Times New Roman"/>
          <w:i/>
          <w:iCs/>
          <w:sz w:val="28"/>
          <w:szCs w:val="28"/>
        </w:rPr>
        <w:t>i</w:t>
      </w: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 xml:space="preserve">та ЦП </w:t>
      </w:r>
      <w:r w:rsidRPr="00AB7FC9"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Pr="00AB7FC9">
        <w:rPr>
          <w:rFonts w:ascii="Times New Roman" w:hAnsi="Times New Roman" w:cs="Times New Roman"/>
          <w:sz w:val="28"/>
          <w:szCs w:val="28"/>
        </w:rPr>
        <w:t xml:space="preserve">; </w:t>
      </w:r>
      <w:r w:rsidRPr="00AB7FC9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3BE3C20" wp14:editId="64158BC3">
            <wp:extent cx="247619" cy="1619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19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AB7FC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7F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B7FC9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AB7F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B7FC9">
        <w:rPr>
          <w:rFonts w:ascii="Times New Roman" w:hAnsi="Times New Roman" w:cs="Times New Roman"/>
          <w:sz w:val="28"/>
          <w:szCs w:val="28"/>
        </w:rPr>
        <w:t>та</w:t>
      </w:r>
      <w:r w:rsidRPr="00AB7FC9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99FA6A9" wp14:editId="6CC96DAB">
            <wp:extent cx="219048" cy="15238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AB7FC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7F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AB7FC9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AB7F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B7FC9">
        <w:rPr>
          <w:rFonts w:ascii="Times New Roman" w:hAnsi="Times New Roman" w:cs="Times New Roman"/>
          <w:sz w:val="28"/>
          <w:szCs w:val="28"/>
        </w:rPr>
        <w:t xml:space="preserve"> – дохідність ЦП </w:t>
      </w:r>
      <w:r w:rsidRPr="00AB7FC9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 w:rsidRPr="00AB7FC9">
        <w:rPr>
          <w:rFonts w:ascii="Times New Roman" w:hAnsi="Times New Roman" w:cs="Times New Roman"/>
          <w:sz w:val="28"/>
          <w:szCs w:val="28"/>
        </w:rPr>
        <w:t xml:space="preserve">та ЦП </w:t>
      </w:r>
      <w:r w:rsidRPr="00AB7FC9">
        <w:rPr>
          <w:rFonts w:ascii="Times New Roman" w:hAnsi="Times New Roman" w:cs="Times New Roman"/>
          <w:i/>
          <w:iCs/>
          <w:sz w:val="28"/>
          <w:szCs w:val="28"/>
        </w:rPr>
        <w:t xml:space="preserve">j </w:t>
      </w:r>
      <w:r w:rsidRPr="00AB7FC9">
        <w:rPr>
          <w:rFonts w:ascii="Times New Roman" w:hAnsi="Times New Roman" w:cs="Times New Roman"/>
          <w:sz w:val="28"/>
          <w:szCs w:val="28"/>
        </w:rPr>
        <w:t xml:space="preserve">в момент часу </w:t>
      </w:r>
      <w:r w:rsidRPr="00AB7FC9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AB7FC9">
        <w:rPr>
          <w:rFonts w:ascii="Times New Roman" w:hAnsi="Times New Roman" w:cs="Times New Roman"/>
          <w:sz w:val="28"/>
          <w:szCs w:val="28"/>
        </w:rPr>
        <w:t xml:space="preserve">; </w:t>
      </w:r>
      <w:r w:rsidRPr="00AB7FC9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AB7F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7FC9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AB7FC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), </w:t>
      </w:r>
      <w:r w:rsidRPr="00AB7FC9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AB7F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7FC9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AB7FC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j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) – очікувана (середньоарифметична) дохідність ЦП </w:t>
      </w:r>
      <w:r w:rsidRPr="00AB7FC9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 w:rsidRPr="00AB7FC9">
        <w:rPr>
          <w:rFonts w:ascii="Times New Roman" w:hAnsi="Times New Roman" w:cs="Times New Roman"/>
          <w:sz w:val="28"/>
          <w:szCs w:val="28"/>
        </w:rPr>
        <w:t xml:space="preserve">та ЦП </w:t>
      </w:r>
      <w:r w:rsidRPr="00AB7FC9"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Pr="00AB7FC9">
        <w:rPr>
          <w:rFonts w:ascii="Times New Roman" w:hAnsi="Times New Roman" w:cs="Times New Roman"/>
          <w:sz w:val="28"/>
          <w:szCs w:val="28"/>
        </w:rPr>
        <w:t xml:space="preserve">; </w:t>
      </w:r>
      <w:r w:rsidRPr="00AB7FC9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AB7FC9">
        <w:rPr>
          <w:rFonts w:ascii="Times New Roman" w:hAnsi="Times New Roman" w:cs="Times New Roman"/>
          <w:sz w:val="28"/>
          <w:szCs w:val="28"/>
        </w:rPr>
        <w:t>– загальна кількість періодів спостереження.</w:t>
      </w:r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 xml:space="preserve">Задача оптимізації структури відповідного портфеля досягненням заданої дохідності з мінімальним ризиком називається задачею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Марковіца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і 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9">
        <w:rPr>
          <w:rFonts w:ascii="Times New Roman" w:hAnsi="Times New Roman" w:cs="Times New Roman"/>
          <w:sz w:val="28"/>
          <w:szCs w:val="28"/>
        </w:rPr>
        <w:t xml:space="preserve">такий вигляд (дана математична формалізація запропонована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Тобіном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>):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Pr="004869B7" w:rsidRDefault="00E46574" w:rsidP="00E4657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i.j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i.j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i.j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→max</m:t>
        </m:r>
      </m:oMath>
      <w:r w:rsidRPr="004869B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(</w:t>
      </w: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4869B7">
        <w:rPr>
          <w:rFonts w:ascii="Times New Roman" w:eastAsiaTheme="minorEastAsia" w:hAnsi="Times New Roman" w:cs="Times New Roman"/>
          <w:sz w:val="28"/>
          <w:szCs w:val="28"/>
        </w:rPr>
        <w:t>2)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4869B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>дохідність і-го цінного паперу чи інвестиції за певний період;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i.j</m:t>
            </m:r>
          </m:sub>
        </m:sSub>
      </m:oMath>
      <w:r w:rsidRPr="004869B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>частка загального цінного паперу чи інвестиції в загальному портфелі.</w:t>
      </w:r>
    </w:p>
    <w:p w:rsidR="00E46574" w:rsidRPr="001472C5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Pr="001472C5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nary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e>
        </m:nary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min</m:t>
        </m:r>
      </m:oMath>
      <w:r w:rsidRPr="001472C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(</w:t>
      </w: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1472C5">
        <w:rPr>
          <w:rFonts w:ascii="Times New Roman" w:eastAsiaTheme="minorEastAsia" w:hAnsi="Times New Roman" w:cs="Times New Roman"/>
          <w:sz w:val="28"/>
          <w:szCs w:val="28"/>
        </w:rPr>
        <w:t>3)</w:t>
      </w:r>
    </w:p>
    <w:p w:rsidR="00E46574" w:rsidRPr="00D92B3E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=1,</m:t>
          </m:r>
        </m:oMath>
      </m:oMathPara>
    </w:p>
    <w:p w:rsidR="00E46574" w:rsidRPr="00AB7FC9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 xml:space="preserve">Аналітично наведена задача мінімізації неперервної функції з двома обмеженнями розв’язується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задопомогою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методу невизначених множників Лагранжа [6].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C9">
        <w:rPr>
          <w:rFonts w:ascii="Times New Roman" w:hAnsi="Times New Roman" w:cs="Times New Roman"/>
          <w:sz w:val="28"/>
          <w:szCs w:val="28"/>
        </w:rPr>
        <w:t xml:space="preserve">Головними недоліками класичного підходу є вимога щодо нормального розподілу значень дохідності, можливість розгляду тільки конкретних значень дохідності та необхідність встановлення ймовірності їх досягнення. Ризиком вважаються всі відхилення від запланованих показників, як у </w:t>
      </w:r>
      <w:proofErr w:type="spellStart"/>
      <w:r w:rsidRPr="00AB7FC9">
        <w:rPr>
          <w:rFonts w:ascii="Times New Roman" w:hAnsi="Times New Roman" w:cs="Times New Roman"/>
          <w:sz w:val="28"/>
          <w:szCs w:val="28"/>
        </w:rPr>
        <w:t>менший,так</w:t>
      </w:r>
      <w:proofErr w:type="spellEnd"/>
      <w:r w:rsidRPr="00AB7FC9">
        <w:rPr>
          <w:rFonts w:ascii="Times New Roman" w:hAnsi="Times New Roman" w:cs="Times New Roman"/>
          <w:sz w:val="28"/>
          <w:szCs w:val="28"/>
        </w:rPr>
        <w:t xml:space="preserve"> і у більший бік.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C7">
        <w:rPr>
          <w:rFonts w:ascii="Times New Roman" w:hAnsi="Times New Roman" w:cs="Times New Roman"/>
          <w:b/>
          <w:sz w:val="28"/>
          <w:szCs w:val="28"/>
        </w:rPr>
        <w:lastRenderedPageBreak/>
        <w:t>Контрольні запитання: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Що вважається категорією ризик у процесі оптимізації портфелю цінних паперів банківської установи?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Які Ви можете назвати способи оцінки ризику при оптимізації інвестиційного портфеля(ІП)?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 допомогою якої моделі можливо здійснити моделювання ризику та дохідності ІП у сучасних ринкових умовах банківських установ?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Які основні показники моделюються у моделі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Марковіца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Яку математичну величину застосовує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Марковіца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визначення ризику діяльності банківської установи?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Що означає позитивне 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коваріації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моделі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Марковіца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 допомогою якого методу можна виконати задачу мінімізації неперервної функції?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 свої моделі який закон розподілу величин визначив науковець?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Назвіть основні недоліки моделювання інвестиційного портфелю банку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Марковіца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56">
        <w:rPr>
          <w:rFonts w:ascii="Times New Roman" w:hAnsi="Times New Roman" w:cs="Times New Roman"/>
          <w:b/>
          <w:sz w:val="28"/>
          <w:szCs w:val="28"/>
        </w:rPr>
        <w:t>Теми для обговорень та рефератів.</w:t>
      </w:r>
    </w:p>
    <w:p w:rsidR="00E46574" w:rsidRDefault="00E46574" w:rsidP="00E465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Наукова діяльність та внесок у процеси моделювання інвестиційних портфелів визначного науковця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Г.Марковіца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6574" w:rsidRDefault="00E46574" w:rsidP="00E465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Економіко-математичні методи оцінювання ризику ІП.</w:t>
      </w:r>
    </w:p>
    <w:p w:rsidR="00E46574" w:rsidRDefault="00E46574" w:rsidP="00E465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Економіко-математичні методи визначення дохідності ІП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Марковіцем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6574" w:rsidRDefault="00E46574" w:rsidP="00E465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Закони розподілу випадкових величин, що застосовані у моделі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Марковіца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6574" w:rsidRDefault="00E46574" w:rsidP="00E465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ще способи визначення ризику можливі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співвідношені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дохідністі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ІП.</w:t>
      </w:r>
    </w:p>
    <w:p w:rsidR="00E46574" w:rsidRDefault="00E46574" w:rsidP="00E465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Бачення сучасних науковців у економіко-математичному моделюванні діяльності банківських структур з врахуванням ризику.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56">
        <w:rPr>
          <w:rFonts w:ascii="Times New Roman" w:hAnsi="Times New Roman" w:cs="Times New Roman"/>
          <w:b/>
          <w:sz w:val="28"/>
          <w:szCs w:val="28"/>
        </w:rPr>
        <w:t>Практичн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56D56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E46574" w:rsidRPr="00656D56" w:rsidRDefault="00E46574" w:rsidP="00E46574">
      <w:pPr>
        <w:rPr>
          <w:rFonts w:ascii="Times New Roman" w:hAnsi="Times New Roman" w:cs="Times New Roman"/>
          <w:sz w:val="28"/>
          <w:szCs w:val="28"/>
        </w:rPr>
      </w:pPr>
      <w:r w:rsidRPr="00656D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656D56">
        <w:rPr>
          <w:rFonts w:ascii="Times New Roman" w:hAnsi="Times New Roman" w:cs="Times New Roman"/>
          <w:sz w:val="28"/>
          <w:szCs w:val="28"/>
        </w:rPr>
        <w:t>Економіко-математичне моделювання портфеля комерційного банку</w:t>
      </w:r>
      <w:r>
        <w:rPr>
          <w:rFonts w:ascii="Times New Roman" w:hAnsi="Times New Roman" w:cs="Times New Roman"/>
          <w:sz w:val="28"/>
          <w:szCs w:val="28"/>
        </w:rPr>
        <w:t xml:space="preserve"> за моделлю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Марковіца</w:t>
      </w:r>
      <w:proofErr w:type="spellEnd"/>
      <w:r w:rsidRPr="00656D56">
        <w:rPr>
          <w:rFonts w:ascii="Times New Roman" w:hAnsi="Times New Roman" w:cs="Times New Roman"/>
          <w:sz w:val="28"/>
          <w:szCs w:val="28"/>
        </w:rPr>
        <w:t>.</w:t>
      </w:r>
    </w:p>
    <w:p w:rsidR="00E46574" w:rsidRPr="00656D56" w:rsidRDefault="00E46574" w:rsidP="00E46574">
      <w:pPr>
        <w:rPr>
          <w:rFonts w:ascii="Times New Roman" w:hAnsi="Times New Roman" w:cs="Times New Roman"/>
          <w:sz w:val="28"/>
          <w:szCs w:val="28"/>
        </w:rPr>
      </w:pPr>
      <w:r w:rsidRPr="00656D56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656D56">
        <w:rPr>
          <w:rFonts w:ascii="Times New Roman" w:hAnsi="Times New Roman" w:cs="Times New Roman"/>
          <w:sz w:val="28"/>
          <w:szCs w:val="28"/>
        </w:rPr>
        <w:t>Набуття навичок математичного моделювання оптимального портфеля реалізації інвестиційних проектів</w:t>
      </w:r>
      <w:r>
        <w:rPr>
          <w:rFonts w:ascii="Times New Roman" w:hAnsi="Times New Roman" w:cs="Times New Roman"/>
          <w:sz w:val="28"/>
          <w:szCs w:val="28"/>
        </w:rPr>
        <w:t xml:space="preserve"> з використанням сучасних моделей</w:t>
      </w:r>
      <w:r w:rsidRPr="00656D56">
        <w:rPr>
          <w:rFonts w:ascii="Times New Roman" w:hAnsi="Times New Roman" w:cs="Times New Roman"/>
          <w:sz w:val="28"/>
          <w:szCs w:val="28"/>
        </w:rPr>
        <w:t>.</w:t>
      </w:r>
    </w:p>
    <w:p w:rsidR="00E46574" w:rsidRPr="00656D56" w:rsidRDefault="00E46574" w:rsidP="00E46574">
      <w:pPr>
        <w:rPr>
          <w:rFonts w:ascii="Times New Roman" w:hAnsi="Times New Roman" w:cs="Times New Roman"/>
          <w:sz w:val="28"/>
          <w:szCs w:val="28"/>
        </w:rPr>
      </w:pPr>
      <w:r w:rsidRPr="00656D56">
        <w:rPr>
          <w:rFonts w:ascii="Times New Roman" w:hAnsi="Times New Roman" w:cs="Times New Roman"/>
          <w:sz w:val="28"/>
          <w:szCs w:val="28"/>
        </w:rPr>
        <w:t>Хід роботи:</w:t>
      </w:r>
    </w:p>
    <w:p w:rsidR="00E46574" w:rsidRDefault="00E46574" w:rsidP="00E46574">
      <w:pPr>
        <w:rPr>
          <w:rFonts w:ascii="Times New Roman" w:hAnsi="Times New Roman" w:cs="Times New Roman"/>
          <w:sz w:val="28"/>
          <w:szCs w:val="28"/>
        </w:rPr>
      </w:pPr>
      <w:r w:rsidRPr="00656D56">
        <w:rPr>
          <w:rFonts w:ascii="Times New Roman" w:hAnsi="Times New Roman" w:cs="Times New Roman"/>
          <w:sz w:val="28"/>
          <w:szCs w:val="28"/>
        </w:rPr>
        <w:t xml:space="preserve">1.Вхідні дані для виконання лабораторної роботи </w:t>
      </w:r>
      <w:r>
        <w:rPr>
          <w:rFonts w:ascii="Times New Roman" w:hAnsi="Times New Roman" w:cs="Times New Roman"/>
          <w:sz w:val="28"/>
          <w:szCs w:val="28"/>
        </w:rPr>
        <w:t>наведені в табл.1, табл.2</w:t>
      </w:r>
    </w:p>
    <w:p w:rsidR="00E46574" w:rsidRPr="00656D56" w:rsidRDefault="00E46574" w:rsidP="00E46574">
      <w:pPr>
        <w:rPr>
          <w:rFonts w:ascii="Times New Roman" w:hAnsi="Times New Roman" w:cs="Times New Roman"/>
          <w:sz w:val="28"/>
          <w:szCs w:val="28"/>
        </w:rPr>
      </w:pPr>
      <w:r w:rsidRPr="00656D56">
        <w:rPr>
          <w:rFonts w:ascii="Times New Roman" w:hAnsi="Times New Roman" w:cs="Times New Roman"/>
          <w:sz w:val="28"/>
          <w:szCs w:val="28"/>
        </w:rPr>
        <w:t>Табл</w:t>
      </w:r>
      <w:r>
        <w:rPr>
          <w:rFonts w:ascii="Times New Roman" w:hAnsi="Times New Roman" w:cs="Times New Roman"/>
          <w:sz w:val="28"/>
          <w:szCs w:val="28"/>
        </w:rPr>
        <w:t>иця</w:t>
      </w:r>
      <w:r w:rsidRPr="00656D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667" w:type="dxa"/>
        <w:tblLook w:val="01E0" w:firstRow="1" w:lastRow="1" w:firstColumn="1" w:lastColumn="1" w:noHBand="0" w:noVBand="0"/>
      </w:tblPr>
      <w:tblGrid>
        <w:gridCol w:w="2416"/>
        <w:gridCol w:w="2417"/>
        <w:gridCol w:w="2417"/>
        <w:gridCol w:w="2417"/>
      </w:tblGrid>
      <w:tr w:rsidR="00E46574" w:rsidRPr="00656D56" w:rsidTr="009A7B44">
        <w:trPr>
          <w:trHeight w:val="319"/>
        </w:trPr>
        <w:tc>
          <w:tcPr>
            <w:tcW w:w="2416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дохідність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Частка%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Сума, тис. грн</w:t>
            </w:r>
          </w:p>
        </w:tc>
      </w:tr>
      <w:tr w:rsidR="00E46574" w:rsidRPr="00656D56" w:rsidTr="009A7B44">
        <w:trPr>
          <w:trHeight w:val="335"/>
        </w:trPr>
        <w:tc>
          <w:tcPr>
            <w:tcW w:w="2416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векселі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</w:p>
        </w:tc>
      </w:tr>
      <w:tr w:rsidR="00E46574" w:rsidRPr="00656D56" w:rsidTr="009A7B44">
        <w:trPr>
          <w:trHeight w:val="319"/>
        </w:trPr>
        <w:tc>
          <w:tcPr>
            <w:tcW w:w="2416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Акції кооперації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32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19,1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47336</w:t>
            </w:r>
          </w:p>
        </w:tc>
      </w:tr>
      <w:tr w:rsidR="00E46574" w:rsidRPr="00656D56" w:rsidTr="009A7B44">
        <w:trPr>
          <w:trHeight w:val="639"/>
        </w:trPr>
        <w:tc>
          <w:tcPr>
            <w:tcW w:w="2416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Обігові корпорації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25,1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77,82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192861</w:t>
            </w:r>
          </w:p>
        </w:tc>
      </w:tr>
      <w:tr w:rsidR="00E46574" w:rsidRPr="00656D56" w:rsidTr="009A7B44">
        <w:trPr>
          <w:trHeight w:val="654"/>
        </w:trPr>
        <w:tc>
          <w:tcPr>
            <w:tcW w:w="2416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Державні облігації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18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3,08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12897</w:t>
            </w:r>
          </w:p>
        </w:tc>
      </w:tr>
      <w:tr w:rsidR="00E46574" w:rsidRPr="00656D56" w:rsidTr="009A7B44">
        <w:trPr>
          <w:trHeight w:val="639"/>
        </w:trPr>
        <w:tc>
          <w:tcPr>
            <w:tcW w:w="2416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Облігації місцевих позик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46574" w:rsidRPr="00656D56" w:rsidTr="009A7B44">
        <w:trPr>
          <w:trHeight w:val="335"/>
        </w:trPr>
        <w:tc>
          <w:tcPr>
            <w:tcW w:w="2416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інші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1,55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</w:p>
        </w:tc>
      </w:tr>
      <w:tr w:rsidR="00E46574" w:rsidRPr="00656D56" w:rsidTr="009A7B44">
        <w:trPr>
          <w:trHeight w:val="654"/>
        </w:trPr>
        <w:tc>
          <w:tcPr>
            <w:tcW w:w="2416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 xml:space="preserve"> Загалом портфель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26,58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100</w:t>
            </w:r>
          </w:p>
        </w:tc>
        <w:tc>
          <w:tcPr>
            <w:tcW w:w="2417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205757</w:t>
            </w:r>
          </w:p>
        </w:tc>
      </w:tr>
    </w:tbl>
    <w:p w:rsidR="00E46574" w:rsidRDefault="00E46574" w:rsidP="00E46574">
      <w:pPr>
        <w:rPr>
          <w:rFonts w:ascii="Times New Roman" w:hAnsi="Times New Roman" w:cs="Times New Roman"/>
          <w:sz w:val="28"/>
          <w:szCs w:val="28"/>
        </w:rPr>
      </w:pPr>
    </w:p>
    <w:p w:rsidR="00E46574" w:rsidRPr="00656D56" w:rsidRDefault="00E46574" w:rsidP="00E46574">
      <w:pPr>
        <w:rPr>
          <w:rFonts w:ascii="Times New Roman" w:hAnsi="Times New Roman" w:cs="Times New Roman"/>
          <w:sz w:val="28"/>
          <w:szCs w:val="28"/>
        </w:rPr>
      </w:pPr>
      <w:r w:rsidRPr="00656D56">
        <w:rPr>
          <w:rFonts w:ascii="Times New Roman" w:hAnsi="Times New Roman" w:cs="Times New Roman"/>
          <w:sz w:val="28"/>
          <w:szCs w:val="28"/>
        </w:rPr>
        <w:t xml:space="preserve"> Табл</w:t>
      </w:r>
      <w:r>
        <w:rPr>
          <w:rFonts w:ascii="Times New Roman" w:hAnsi="Times New Roman" w:cs="Times New Roman"/>
          <w:sz w:val="28"/>
          <w:szCs w:val="28"/>
        </w:rPr>
        <w:t xml:space="preserve">иця </w:t>
      </w:r>
      <w:r w:rsidRPr="00656D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6D56">
        <w:rPr>
          <w:rFonts w:ascii="Times New Roman" w:hAnsi="Times New Roman" w:cs="Times New Roman"/>
          <w:sz w:val="28"/>
          <w:szCs w:val="28"/>
        </w:rPr>
        <w:t>Показники дохідності (</w:t>
      </w:r>
      <w:proofErr w:type="spellStart"/>
      <w:r w:rsidRPr="00656D56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656D5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E46574" w:rsidRPr="00656D56" w:rsidTr="009A7B44"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01.20</w:t>
            </w:r>
            <w:r>
              <w:rPr>
                <w:sz w:val="28"/>
                <w:szCs w:val="28"/>
              </w:rPr>
              <w:t>11р.</w:t>
            </w:r>
          </w:p>
        </w:tc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01.20</w:t>
            </w:r>
            <w:r>
              <w:rPr>
                <w:sz w:val="28"/>
                <w:szCs w:val="28"/>
              </w:rPr>
              <w:t>12р.</w:t>
            </w:r>
          </w:p>
        </w:tc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01.20</w:t>
            </w:r>
            <w:r>
              <w:rPr>
                <w:sz w:val="28"/>
                <w:szCs w:val="28"/>
              </w:rPr>
              <w:t>13р.</w:t>
            </w:r>
          </w:p>
        </w:tc>
        <w:tc>
          <w:tcPr>
            <w:tcW w:w="1915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01.20</w:t>
            </w:r>
            <w:r>
              <w:rPr>
                <w:sz w:val="28"/>
                <w:szCs w:val="28"/>
              </w:rPr>
              <w:t>14р.</w:t>
            </w:r>
          </w:p>
        </w:tc>
      </w:tr>
      <w:tr w:rsidR="00E46574" w:rsidRPr="00656D56" w:rsidTr="009A7B44"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векселі</w:t>
            </w:r>
          </w:p>
        </w:tc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39,8</w:t>
            </w:r>
          </w:p>
        </w:tc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32</w:t>
            </w:r>
          </w:p>
        </w:tc>
      </w:tr>
      <w:tr w:rsidR="00E46574" w:rsidRPr="00656D56" w:rsidTr="009A7B44"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Акції кооперації</w:t>
            </w:r>
          </w:p>
        </w:tc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24,1</w:t>
            </w:r>
          </w:p>
        </w:tc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23,8</w:t>
            </w:r>
          </w:p>
        </w:tc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22,7</w:t>
            </w:r>
          </w:p>
        </w:tc>
        <w:tc>
          <w:tcPr>
            <w:tcW w:w="1915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25</w:t>
            </w:r>
          </w:p>
        </w:tc>
      </w:tr>
      <w:tr w:rsidR="00E46574" w:rsidRPr="00656D56" w:rsidTr="009A7B44"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Обігові корпорації</w:t>
            </w:r>
          </w:p>
        </w:tc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28,2</w:t>
            </w:r>
          </w:p>
        </w:tc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27,2</w:t>
            </w:r>
          </w:p>
        </w:tc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20,4</w:t>
            </w:r>
          </w:p>
        </w:tc>
        <w:tc>
          <w:tcPr>
            <w:tcW w:w="1915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25,1</w:t>
            </w:r>
          </w:p>
        </w:tc>
      </w:tr>
      <w:tr w:rsidR="00E46574" w:rsidRPr="00656D56" w:rsidTr="009A7B44"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Державні облігації</w:t>
            </w:r>
          </w:p>
        </w:tc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19,2</w:t>
            </w:r>
          </w:p>
        </w:tc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18,7</w:t>
            </w:r>
          </w:p>
        </w:tc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18,2</w:t>
            </w:r>
          </w:p>
        </w:tc>
        <w:tc>
          <w:tcPr>
            <w:tcW w:w="1915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t>18</w:t>
            </w:r>
          </w:p>
        </w:tc>
      </w:tr>
      <w:tr w:rsidR="00E46574" w:rsidRPr="00656D56" w:rsidTr="009A7B44"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 w:rsidRPr="00656D56">
              <w:rPr>
                <w:sz w:val="28"/>
                <w:szCs w:val="28"/>
              </w:rPr>
              <w:lastRenderedPageBreak/>
              <w:t>Облігації місцевих позик</w:t>
            </w:r>
          </w:p>
        </w:tc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E46574" w:rsidRPr="00656D56" w:rsidRDefault="00E46574" w:rsidP="009A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E46574" w:rsidRPr="002E50F8" w:rsidRDefault="00E46574" w:rsidP="00E4657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0F8">
        <w:rPr>
          <w:rFonts w:ascii="Times New Roman" w:hAnsi="Times New Roman" w:cs="Times New Roman"/>
          <w:sz w:val="28"/>
          <w:szCs w:val="28"/>
        </w:rPr>
        <w:t xml:space="preserve">Відповідно моделі </w:t>
      </w:r>
      <w:proofErr w:type="spellStart"/>
      <w:r w:rsidRPr="002E50F8">
        <w:rPr>
          <w:rFonts w:ascii="Times New Roman" w:hAnsi="Times New Roman" w:cs="Times New Roman"/>
          <w:sz w:val="28"/>
          <w:szCs w:val="28"/>
        </w:rPr>
        <w:t>Марковіца</w:t>
      </w:r>
      <w:proofErr w:type="spellEnd"/>
      <w:r w:rsidRPr="002E50F8">
        <w:rPr>
          <w:rFonts w:ascii="Times New Roman" w:hAnsi="Times New Roman" w:cs="Times New Roman"/>
          <w:sz w:val="28"/>
          <w:szCs w:val="28"/>
        </w:rPr>
        <w:t xml:space="preserve"> визначити дохідність та ризик інвестиційного портфелю.</w:t>
      </w:r>
    </w:p>
    <w:p w:rsidR="00E46574" w:rsidRDefault="00E46574" w:rsidP="00E4657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Здійснити моделювання структури ІП за найбільшою дохідністю.</w:t>
      </w:r>
    </w:p>
    <w:p w:rsidR="00E46574" w:rsidRDefault="00E46574" w:rsidP="00E4657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Здійснити моделювання структури ІП за показником найменшого ризику.</w:t>
      </w:r>
    </w:p>
    <w:p w:rsidR="00E46574" w:rsidRPr="002E50F8" w:rsidRDefault="00E46574" w:rsidP="00E4657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Побудувати графік співвідношення дохідності та ризику.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3E">
        <w:rPr>
          <w:rFonts w:ascii="Times New Roman" w:hAnsi="Times New Roman" w:cs="Times New Roman"/>
          <w:b/>
          <w:sz w:val="28"/>
          <w:szCs w:val="28"/>
        </w:rPr>
        <w:t>Практична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  <w:r w:rsidRPr="00D92B3E">
        <w:rPr>
          <w:rFonts w:ascii="Times New Roman" w:hAnsi="Times New Roman" w:cs="Times New Roman"/>
          <w:b/>
          <w:sz w:val="28"/>
          <w:szCs w:val="28"/>
        </w:rPr>
        <w:t xml:space="preserve"> 2. Моделювання портфеля комерційного банку за класично моделлю </w:t>
      </w:r>
      <w:proofErr w:type="spellStart"/>
      <w:r w:rsidRPr="00D92B3E">
        <w:rPr>
          <w:rFonts w:ascii="Times New Roman" w:hAnsi="Times New Roman" w:cs="Times New Roman"/>
          <w:b/>
          <w:sz w:val="28"/>
          <w:szCs w:val="28"/>
        </w:rPr>
        <w:t>Марковіца</w:t>
      </w:r>
      <w:proofErr w:type="spellEnd"/>
      <w:r w:rsidRPr="00D92B3E">
        <w:rPr>
          <w:rFonts w:ascii="Times New Roman" w:hAnsi="Times New Roman" w:cs="Times New Roman"/>
          <w:b/>
          <w:sz w:val="28"/>
          <w:szCs w:val="28"/>
        </w:rPr>
        <w:t xml:space="preserve"> при зазначених сценаріях розвитку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574" w:rsidRDefault="00E46574" w:rsidP="00E46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0F8">
        <w:rPr>
          <w:rFonts w:ascii="Times New Roman" w:hAnsi="Times New Roman" w:cs="Times New Roman"/>
          <w:b/>
          <w:sz w:val="28"/>
          <w:szCs w:val="28"/>
        </w:rPr>
        <w:t>Мета  практичного заняття</w:t>
      </w:r>
      <w:r>
        <w:rPr>
          <w:rFonts w:ascii="Times New Roman" w:hAnsi="Times New Roman" w:cs="Times New Roman"/>
          <w:sz w:val="28"/>
          <w:szCs w:val="28"/>
        </w:rPr>
        <w:t xml:space="preserve">: дістати навики моделювання оптимального складу портфелю банку, та визначення рівня прибутковості портфеля банку при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імовірнісних сценаріях.</w:t>
      </w:r>
    </w:p>
    <w:p w:rsidR="00E46574" w:rsidRPr="00527994" w:rsidRDefault="00E46574" w:rsidP="00E46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94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практичного </w:t>
      </w:r>
      <w:r w:rsidRPr="00527994">
        <w:rPr>
          <w:rFonts w:ascii="Times New Roman" w:hAnsi="Times New Roman" w:cs="Times New Roman"/>
          <w:b/>
          <w:sz w:val="28"/>
          <w:szCs w:val="28"/>
        </w:rPr>
        <w:t>заняття:</w:t>
      </w:r>
    </w:p>
    <w:p w:rsidR="00E46574" w:rsidRDefault="00E46574" w:rsidP="00E46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1.Визначити очікувану дохідність акцій А та В.\</w:t>
      </w:r>
    </w:p>
    <w:p w:rsidR="00E46574" w:rsidRDefault="00E46574" w:rsidP="00E46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2.Обчислити сподівану норму прибутку портфеля.</w:t>
      </w:r>
    </w:p>
    <w:p w:rsidR="00E46574" w:rsidRDefault="00E46574" w:rsidP="00E46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3.Визначити ступінь  ризику дохідності акцій виду А та В.</w:t>
      </w:r>
    </w:p>
    <w:p w:rsidR="00E46574" w:rsidRDefault="00E46574" w:rsidP="00E46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4.Визначити загальний ризик портфелю за відповідною формулою.</w:t>
      </w:r>
    </w:p>
    <w:p w:rsidR="00E46574" w:rsidRDefault="00E46574" w:rsidP="00E46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D8">
        <w:rPr>
          <w:rFonts w:ascii="Times New Roman" w:hAnsi="Times New Roman" w:cs="Times New Roman"/>
          <w:b/>
          <w:sz w:val="28"/>
          <w:szCs w:val="28"/>
        </w:rPr>
        <w:t xml:space="preserve">Вхідні дані для виконання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практичного </w:t>
      </w:r>
      <w:r w:rsidRPr="005327D8">
        <w:rPr>
          <w:rFonts w:ascii="Times New Roman" w:hAnsi="Times New Roman" w:cs="Times New Roman"/>
          <w:b/>
          <w:sz w:val="28"/>
          <w:szCs w:val="28"/>
        </w:rPr>
        <w:t>заняття.</w:t>
      </w:r>
    </w:p>
    <w:p w:rsidR="00E46574" w:rsidRDefault="00E46574" w:rsidP="00E46574">
      <w:pPr>
        <w:jc w:val="both"/>
        <w:rPr>
          <w:rFonts w:ascii="Times New Roman" w:hAnsi="Times New Roman" w:cs="Times New Roman"/>
          <w:sz w:val="28"/>
          <w:szCs w:val="28"/>
        </w:rPr>
      </w:pPr>
      <w:r w:rsidRPr="005327D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нвестор є власником інвестиційного портфеля, який складається з двох видів акцій А та В. Прогнозують, що у майбутньому періоді економічна система може розвиватись згідно з п’ятьма прогнозованими сценаріям. Сподівані норми дохідності цінних паперів відповідно до сценаріїв розвитку та ймовірність цих сценаріїв подано у табл.1</w:t>
      </w:r>
    </w:p>
    <w:p w:rsidR="00E46574" w:rsidRDefault="00E46574" w:rsidP="00E46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1. Вхідні дані для моделювання за моделлю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Марковіца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2395"/>
        <w:gridCol w:w="2395"/>
        <w:gridCol w:w="2424"/>
      </w:tblGrid>
      <w:tr w:rsidR="00E46574" w:rsidTr="009A7B44">
        <w:tc>
          <w:tcPr>
            <w:tcW w:w="2463" w:type="dxa"/>
          </w:tcPr>
          <w:p w:rsidR="00E46574" w:rsidRPr="004725EE" w:rsidRDefault="00E46574" w:rsidP="009A7B44">
            <w:pPr>
              <w:jc w:val="right"/>
              <w:rPr>
                <w:sz w:val="24"/>
                <w:szCs w:val="24"/>
              </w:rPr>
            </w:pPr>
            <w:r w:rsidRPr="004725EE">
              <w:rPr>
                <w:sz w:val="24"/>
                <w:szCs w:val="24"/>
              </w:rPr>
              <w:t>Сценарії розвитку економіки</w:t>
            </w:r>
          </w:p>
        </w:tc>
        <w:tc>
          <w:tcPr>
            <w:tcW w:w="4928" w:type="dxa"/>
            <w:gridSpan w:val="2"/>
          </w:tcPr>
          <w:p w:rsidR="00E46574" w:rsidRPr="004725EE" w:rsidRDefault="00E46574" w:rsidP="009A7B44">
            <w:pPr>
              <w:jc w:val="right"/>
              <w:rPr>
                <w:sz w:val="24"/>
                <w:szCs w:val="24"/>
              </w:rPr>
            </w:pPr>
            <w:r w:rsidRPr="004725EE">
              <w:rPr>
                <w:sz w:val="24"/>
                <w:szCs w:val="24"/>
              </w:rPr>
              <w:t>Очікувана дохідність</w:t>
            </w:r>
          </w:p>
        </w:tc>
        <w:tc>
          <w:tcPr>
            <w:tcW w:w="2464" w:type="dxa"/>
          </w:tcPr>
          <w:p w:rsidR="00E46574" w:rsidRPr="004725EE" w:rsidRDefault="00E46574" w:rsidP="009A7B44">
            <w:pPr>
              <w:jc w:val="right"/>
              <w:rPr>
                <w:sz w:val="24"/>
                <w:szCs w:val="24"/>
              </w:rPr>
            </w:pPr>
            <w:r w:rsidRPr="004725EE">
              <w:rPr>
                <w:sz w:val="24"/>
                <w:szCs w:val="24"/>
              </w:rPr>
              <w:t>Ймовірність</w:t>
            </w:r>
            <w:r>
              <w:rPr>
                <w:sz w:val="24"/>
                <w:szCs w:val="24"/>
              </w:rPr>
              <w:t xml:space="preserve"> сценарію розвитку економіки</w:t>
            </w:r>
            <w:r w:rsidRPr="004725EE">
              <w:rPr>
                <w:sz w:val="24"/>
                <w:szCs w:val="24"/>
              </w:rPr>
              <w:t xml:space="preserve"> </w:t>
            </w:r>
          </w:p>
        </w:tc>
      </w:tr>
      <w:tr w:rsidR="00E46574" w:rsidTr="009A7B44">
        <w:tc>
          <w:tcPr>
            <w:tcW w:w="2463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 w:rsidRPr="00066819">
              <w:rPr>
                <w:sz w:val="24"/>
                <w:szCs w:val="24"/>
              </w:rPr>
              <w:t>Акції виду А.</w:t>
            </w:r>
            <w:r w:rsidRPr="00066819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3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7.25pt" o:ole="">
                  <v:imagedata r:id="rId7" o:title=""/>
                </v:shape>
                <o:OLEObject Type="Embed" ProgID="Equation.3" ShapeID="_x0000_i1025" DrawAspect="Content" ObjectID="_1636226217" r:id="rId8"/>
              </w:object>
            </w:r>
          </w:p>
        </w:tc>
        <w:tc>
          <w:tcPr>
            <w:tcW w:w="2464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 w:rsidRPr="00066819">
              <w:rPr>
                <w:sz w:val="24"/>
                <w:szCs w:val="24"/>
              </w:rPr>
              <w:t>Акції виду В,</w:t>
            </w:r>
            <w:r w:rsidRPr="00066819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320" w:dyaOrig="340">
                <v:shape id="_x0000_i1026" type="#_x0000_t75" style="width:15.75pt;height:17.25pt" o:ole="">
                  <v:imagedata r:id="rId9" o:title=""/>
                </v:shape>
                <o:OLEObject Type="Embed" ProgID="Equation.3" ShapeID="_x0000_i1026" DrawAspect="Content" ObjectID="_1636226218" r:id="rId10"/>
              </w:object>
            </w:r>
          </w:p>
        </w:tc>
        <w:tc>
          <w:tcPr>
            <w:tcW w:w="2464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</w:p>
        </w:tc>
      </w:tr>
      <w:tr w:rsidR="00E46574" w:rsidTr="009A7B44">
        <w:tc>
          <w:tcPr>
            <w:tcW w:w="2463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Сценарій 1</w:t>
            </w:r>
          </w:p>
        </w:tc>
        <w:tc>
          <w:tcPr>
            <w:tcW w:w="2464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2464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2464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46574" w:rsidTr="009A7B44">
        <w:tc>
          <w:tcPr>
            <w:tcW w:w="2463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Сценарій 2 </w:t>
            </w:r>
          </w:p>
        </w:tc>
        <w:tc>
          <w:tcPr>
            <w:tcW w:w="2464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2464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2464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46574" w:rsidTr="009A7B44">
        <w:tc>
          <w:tcPr>
            <w:tcW w:w="2463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Сценарій 3 </w:t>
            </w:r>
          </w:p>
        </w:tc>
        <w:tc>
          <w:tcPr>
            <w:tcW w:w="2464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464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2464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E46574" w:rsidTr="009A7B44">
        <w:tc>
          <w:tcPr>
            <w:tcW w:w="2463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Сценарій 4 </w:t>
            </w:r>
          </w:p>
        </w:tc>
        <w:tc>
          <w:tcPr>
            <w:tcW w:w="2464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2464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2464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46574" w:rsidTr="009A7B44">
        <w:tc>
          <w:tcPr>
            <w:tcW w:w="2463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Сценарій 5</w:t>
            </w:r>
          </w:p>
        </w:tc>
        <w:tc>
          <w:tcPr>
            <w:tcW w:w="2464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2464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464" w:type="dxa"/>
          </w:tcPr>
          <w:p w:rsidR="00E46574" w:rsidRPr="00066819" w:rsidRDefault="00E46574" w:rsidP="009A7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E46574" w:rsidRDefault="00E46574" w:rsidP="00E46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дохідність і ризик портфелю, складеного з цих двох акцій, якщо частка акцій виду А становить</w:t>
      </w:r>
      <w:r w:rsidRPr="004A6C25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027" type="#_x0000_t75" style="width:12pt;height:17.25pt" o:ole="">
            <v:imagedata r:id="rId11" o:title=""/>
          </v:shape>
          <o:OLEObject Type="Embed" ProgID="Equation.3" ShapeID="_x0000_i1027" DrawAspect="Content" ObjectID="_1636226219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35%.</w:t>
      </w:r>
    </w:p>
    <w:p w:rsidR="00E46574" w:rsidRDefault="00E46574" w:rsidP="00E46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25">
        <w:rPr>
          <w:rFonts w:ascii="Times New Roman" w:hAnsi="Times New Roman" w:cs="Times New Roman"/>
          <w:b/>
          <w:sz w:val="28"/>
          <w:szCs w:val="28"/>
        </w:rPr>
        <w:t xml:space="preserve">Алгоритм виконання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практичного </w:t>
      </w:r>
      <w:proofErr w:type="spellStart"/>
      <w:r w:rsidRPr="004A6C25">
        <w:rPr>
          <w:rFonts w:ascii="Times New Roman" w:hAnsi="Times New Roman" w:cs="Times New Roman"/>
          <w:b/>
          <w:sz w:val="28"/>
          <w:szCs w:val="28"/>
        </w:rPr>
        <w:t>аняття</w:t>
      </w:r>
      <w:proofErr w:type="spellEnd"/>
    </w:p>
    <w:p w:rsidR="00E46574" w:rsidRDefault="00E46574" w:rsidP="00E46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1.Визначимо частку паперів виду В у портфелі.</w:t>
      </w:r>
      <w:r w:rsidRPr="004A6C25">
        <w:rPr>
          <w:rFonts w:ascii="Times New Roman" w:hAnsi="Times New Roman" w:cs="Times New Roman"/>
          <w:position w:val="-10"/>
          <w:sz w:val="28"/>
          <w:szCs w:val="28"/>
        </w:rPr>
        <w:object w:dxaOrig="1040" w:dyaOrig="340">
          <v:shape id="_x0000_i1028" type="#_x0000_t75" style="width:51.75pt;height:17.25pt" o:ole="">
            <v:imagedata r:id="rId13" o:title=""/>
          </v:shape>
          <o:OLEObject Type="Embed" ProgID="Equation.3" ShapeID="_x0000_i1028" DrawAspect="Content" ObjectID="_1636226220" r:id="rId14"/>
        </w:object>
      </w:r>
    </w:p>
    <w:p w:rsidR="00E46574" w:rsidRDefault="00E46574" w:rsidP="00E46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2.Визначимо очікувану дохідність акцій А.</w:t>
      </w:r>
    </w:p>
    <w:p w:rsidR="00E46574" w:rsidRDefault="00E46574" w:rsidP="00E46574">
      <w:pPr>
        <w:jc w:val="both"/>
        <w:rPr>
          <w:rFonts w:ascii="Times New Roman" w:hAnsi="Times New Roman" w:cs="Times New Roman"/>
          <w:sz w:val="28"/>
          <w:szCs w:val="28"/>
        </w:rPr>
      </w:pPr>
      <w:r w:rsidRPr="004A6C25">
        <w:rPr>
          <w:rFonts w:ascii="Times New Roman" w:hAnsi="Times New Roman" w:cs="Times New Roman"/>
          <w:position w:val="-28"/>
          <w:sz w:val="28"/>
          <w:szCs w:val="28"/>
        </w:rPr>
        <w:object w:dxaOrig="2260" w:dyaOrig="680">
          <v:shape id="_x0000_i1029" type="#_x0000_t75" style="width:113.25pt;height:33.75pt" o:ole="">
            <v:imagedata r:id="rId15" o:title=""/>
          </v:shape>
          <o:OLEObject Type="Embed" ProgID="Equation.3" ShapeID="_x0000_i1029" DrawAspect="Content" ObjectID="_1636226221" r:id="rId16"/>
        </w:object>
      </w:r>
    </w:p>
    <w:p w:rsidR="00E46574" w:rsidRDefault="00E46574" w:rsidP="00E46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 </w:t>
      </w:r>
      <w:r w:rsidRPr="004A6C25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30" type="#_x0000_t75" style="width:12.75pt;height:18.75pt" o:ole="">
            <v:imagedata r:id="rId17" o:title=""/>
          </v:shape>
          <o:OLEObject Type="Embed" ProgID="Equation.3" ShapeID="_x0000_i1030" DrawAspect="Content" ObjectID="_1636226222" r:id="rId18"/>
        </w:object>
      </w:r>
      <w:r>
        <w:rPr>
          <w:rFonts w:ascii="Times New Roman" w:hAnsi="Times New Roman" w:cs="Times New Roman"/>
          <w:sz w:val="28"/>
          <w:szCs w:val="28"/>
        </w:rPr>
        <w:t>- ймовірність по певному виду сценарію.</w:t>
      </w:r>
    </w:p>
    <w:p w:rsidR="00E46574" w:rsidRDefault="00E46574" w:rsidP="00E46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3.Таким же чином визначимо очікувану дохідність акцій В.</w:t>
      </w:r>
    </w:p>
    <w:p w:rsidR="00E46574" w:rsidRDefault="00E46574" w:rsidP="00E46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4.Ступінь ризику дохідності акцій А визначимо як дисперсію їхньої дохідності.</w:t>
      </w:r>
    </w:p>
    <w:p w:rsidR="00E46574" w:rsidRDefault="00E46574" w:rsidP="00E46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такою  формулою:</w:t>
      </w:r>
    </w:p>
    <w:p w:rsidR="00E46574" w:rsidRDefault="00E46574" w:rsidP="00E46574">
      <w:pPr>
        <w:jc w:val="both"/>
        <w:rPr>
          <w:rFonts w:ascii="Times New Roman" w:hAnsi="Times New Roman" w:cs="Times New Roman"/>
          <w:sz w:val="28"/>
          <w:szCs w:val="28"/>
        </w:rPr>
      </w:pPr>
      <w:r w:rsidRPr="00C478E8">
        <w:rPr>
          <w:rFonts w:ascii="Times New Roman" w:hAnsi="Times New Roman" w:cs="Times New Roman"/>
          <w:position w:val="-28"/>
          <w:sz w:val="28"/>
          <w:szCs w:val="28"/>
        </w:rPr>
        <w:object w:dxaOrig="3060" w:dyaOrig="680">
          <v:shape id="_x0000_i1031" type="#_x0000_t75" style="width:153pt;height:33.75pt" o:ole="">
            <v:imagedata r:id="rId19" o:title=""/>
          </v:shape>
          <o:OLEObject Type="Embed" ProgID="Equation.3" ShapeID="_x0000_i1031" DrawAspect="Content" ObjectID="_1636226223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574" w:rsidRDefault="00E46574" w:rsidP="00E465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 </w:t>
      </w:r>
      <w:r w:rsidRPr="00C478E8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32" type="#_x0000_t75" style="width:18.75pt;height:18.75pt" o:ole="">
            <v:imagedata r:id="rId21" o:title=""/>
          </v:shape>
          <o:OLEObject Type="Embed" ProgID="Equation.3" ShapeID="_x0000_i1032" DrawAspect="Content" ObjectID="_1636226224" r:id="rId22"/>
        </w:object>
      </w:r>
      <w:r>
        <w:rPr>
          <w:rFonts w:ascii="Times New Roman" w:hAnsi="Times New Roman" w:cs="Times New Roman"/>
          <w:sz w:val="28"/>
          <w:szCs w:val="28"/>
        </w:rPr>
        <w:t>-вид акцій А відповідно сценарію.</w:t>
      </w:r>
    </w:p>
    <w:p w:rsidR="00E46574" w:rsidRDefault="00E46574" w:rsidP="00E465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78E8">
        <w:rPr>
          <w:rFonts w:ascii="Times New Roman" w:hAnsi="Times New Roman" w:cs="Times New Roman"/>
          <w:position w:val="-10"/>
          <w:sz w:val="28"/>
          <w:szCs w:val="28"/>
        </w:rPr>
        <w:object w:dxaOrig="279" w:dyaOrig="340">
          <v:shape id="_x0000_i1033" type="#_x0000_t75" style="width:14.25pt;height:17.25pt" o:ole="">
            <v:imagedata r:id="rId23" o:title=""/>
          </v:shape>
          <o:OLEObject Type="Embed" ProgID="Equation.3" ShapeID="_x0000_i1033" DrawAspect="Content" ObjectID="_1636226225" r:id="rId24"/>
        </w:object>
      </w:r>
      <w:r>
        <w:rPr>
          <w:rFonts w:ascii="Times New Roman" w:hAnsi="Times New Roman" w:cs="Times New Roman"/>
          <w:sz w:val="28"/>
          <w:szCs w:val="28"/>
        </w:rPr>
        <w:t>- очікувана дохідність акцій А.</w:t>
      </w:r>
    </w:p>
    <w:p w:rsidR="00E46574" w:rsidRDefault="00E46574" w:rsidP="00E46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Величину ризику портфеля слід розрахувати за формулою.</w:t>
      </w:r>
    </w:p>
    <w:p w:rsidR="00E46574" w:rsidRDefault="00E46574" w:rsidP="00E465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1D0E">
        <w:rPr>
          <w:rFonts w:ascii="Times New Roman" w:hAnsi="Times New Roman" w:cs="Times New Roman"/>
          <w:position w:val="-14"/>
          <w:sz w:val="28"/>
          <w:szCs w:val="28"/>
        </w:rPr>
        <w:object w:dxaOrig="3460" w:dyaOrig="460">
          <v:shape id="_x0000_i1034" type="#_x0000_t75" style="width:173.25pt;height:23.25pt" o:ole="">
            <v:imagedata r:id="rId25" o:title=""/>
          </v:shape>
          <o:OLEObject Type="Embed" ProgID="Equation.3" ShapeID="_x0000_i1034" DrawAspect="Content" ObjectID="_1636226226" r:id="rId26"/>
        </w:object>
      </w:r>
    </w:p>
    <w:p w:rsidR="00E46574" w:rsidRDefault="00E46574" w:rsidP="00E465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</w:t>
      </w:r>
      <w:r w:rsidRPr="00DF1D0E">
        <w:rPr>
          <w:rFonts w:ascii="Times New Roman" w:hAnsi="Times New Roman" w:cs="Times New Roman"/>
          <w:position w:val="-10"/>
          <w:sz w:val="28"/>
          <w:szCs w:val="28"/>
        </w:rPr>
        <w:object w:dxaOrig="360" w:dyaOrig="340">
          <v:shape id="_x0000_i1035" type="#_x0000_t75" style="width:18.75pt;height:17.25pt" o:ole="">
            <v:imagedata r:id="rId27" o:title=""/>
          </v:shape>
          <o:OLEObject Type="Embed" ProgID="Equation.3" ShapeID="_x0000_i1035" DrawAspect="Content" ObjectID="_1636226227" r:id="rId28"/>
        </w:object>
      </w:r>
      <w:r>
        <w:rPr>
          <w:rFonts w:ascii="Times New Roman" w:hAnsi="Times New Roman" w:cs="Times New Roman"/>
          <w:sz w:val="28"/>
          <w:szCs w:val="28"/>
        </w:rPr>
        <w:t>- коефіцієнт кореляції, який = 0,97.</w:t>
      </w:r>
    </w:p>
    <w:p w:rsidR="00E46574" w:rsidRPr="00C478E8" w:rsidRDefault="00E46574" w:rsidP="00E46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Результати розрахунків викласти у висновках.</w:t>
      </w: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74" w:rsidRDefault="00E46574" w:rsidP="00E465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2C9" w:rsidRPr="00E46574" w:rsidRDefault="007D52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52C9" w:rsidRPr="00E465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55F"/>
    <w:multiLevelType w:val="hybridMultilevel"/>
    <w:tmpl w:val="508680D2"/>
    <w:lvl w:ilvl="0" w:tplc="23141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53099A"/>
    <w:multiLevelType w:val="hybridMultilevel"/>
    <w:tmpl w:val="45A2E300"/>
    <w:lvl w:ilvl="0" w:tplc="822A0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FC"/>
    <w:rsid w:val="007D52C9"/>
    <w:rsid w:val="008125FC"/>
    <w:rsid w:val="00E4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1B61B-B922-4FF9-B722-8B03AAD3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E4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14239</Words>
  <Characters>8117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2019-11-25T20:20:00Z</dcterms:created>
  <dcterms:modified xsi:type="dcterms:W3CDTF">2019-11-25T20:20:00Z</dcterms:modified>
</cp:coreProperties>
</file>