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04" w:rsidRPr="00C07F64" w:rsidRDefault="00997304" w:rsidP="00997304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 xml:space="preserve">УДК </w:t>
      </w:r>
      <w:r w:rsidR="00BE61FF" w:rsidRPr="00C07F64">
        <w:rPr>
          <w:rFonts w:ascii="Times New Roman" w:hAnsi="Times New Roman" w:cs="Times New Roman"/>
          <w:sz w:val="24"/>
          <w:szCs w:val="24"/>
        </w:rPr>
        <w:t>330.322</w:t>
      </w:r>
    </w:p>
    <w:p w:rsidR="00997304" w:rsidRPr="00C07F64" w:rsidRDefault="00C07F64" w:rsidP="0099730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7F64">
        <w:rPr>
          <w:rFonts w:ascii="Times New Roman" w:hAnsi="Times New Roman" w:cs="Times New Roman"/>
          <w:sz w:val="24"/>
          <w:szCs w:val="24"/>
        </w:rPr>
        <w:t>Радинський С.В</w:t>
      </w:r>
      <w:bookmarkEnd w:id="0"/>
      <w:r w:rsidRPr="00C07F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304" w:rsidRPr="00C07F64"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 w:rsidR="00997304" w:rsidRPr="00C07F64">
        <w:rPr>
          <w:rFonts w:ascii="Times New Roman" w:hAnsi="Times New Roman" w:cs="Times New Roman"/>
          <w:sz w:val="24"/>
          <w:szCs w:val="24"/>
        </w:rPr>
        <w:t xml:space="preserve">., доцент </w:t>
      </w:r>
    </w:p>
    <w:p w:rsidR="00997304" w:rsidRPr="00C07F64" w:rsidRDefault="00997304" w:rsidP="00997304">
      <w:pPr>
        <w:jc w:val="right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 xml:space="preserve">Тернопільський національний технічний </w:t>
      </w:r>
    </w:p>
    <w:p w:rsidR="00997304" w:rsidRPr="00C07F64" w:rsidRDefault="00997304" w:rsidP="00997304">
      <w:pPr>
        <w:jc w:val="right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 xml:space="preserve">університет імені Івана Пулюя, м. Тернопіль, </w:t>
      </w:r>
      <w:r w:rsidR="002E4AC1" w:rsidRPr="00C07F64">
        <w:rPr>
          <w:rFonts w:ascii="Times New Roman" w:hAnsi="Times New Roman" w:cs="Times New Roman"/>
          <w:sz w:val="24"/>
          <w:szCs w:val="24"/>
        </w:rPr>
        <w:t>Україна</w:t>
      </w:r>
    </w:p>
    <w:p w:rsidR="002E4AC1" w:rsidRPr="00C07F64" w:rsidRDefault="002E4AC1" w:rsidP="009973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304" w:rsidRPr="00C07F64" w:rsidRDefault="00BE61FF" w:rsidP="00997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>ІНВЕСТИЦІЙН</w:t>
      </w:r>
      <w:r w:rsidR="002E4AC1" w:rsidRPr="00C07F64">
        <w:rPr>
          <w:rFonts w:ascii="Times New Roman" w:hAnsi="Times New Roman" w:cs="Times New Roman"/>
          <w:sz w:val="24"/>
          <w:szCs w:val="24"/>
        </w:rPr>
        <w:t>ИЙ КЛІМАТ В УКРАЇНІ</w:t>
      </w:r>
    </w:p>
    <w:p w:rsidR="00997304" w:rsidRPr="00C07F64" w:rsidRDefault="00997304" w:rsidP="00997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04" w:rsidRPr="00C07F64" w:rsidRDefault="00C07F64" w:rsidP="009973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F64">
        <w:rPr>
          <w:rFonts w:ascii="Times New Roman" w:hAnsi="Times New Roman" w:cs="Times New Roman"/>
          <w:sz w:val="24"/>
          <w:szCs w:val="24"/>
          <w:lang w:val="en-US"/>
        </w:rPr>
        <w:t>Radynskyi</w:t>
      </w:r>
      <w:proofErr w:type="spellEnd"/>
      <w:r w:rsidRPr="00C07F64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304" w:rsidRPr="00C07F64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997304" w:rsidRPr="00C07F6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97304" w:rsidRPr="00C07F64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="00997304" w:rsidRPr="00C0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304" w:rsidRPr="00C07F64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997304" w:rsidRPr="00C07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304" w:rsidRPr="00C07F64" w:rsidRDefault="00997304" w:rsidP="00997304">
      <w:pPr>
        <w:jc w:val="right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 xml:space="preserve">Ternopil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304" w:rsidRPr="00C07F64" w:rsidRDefault="00997304" w:rsidP="0099730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F64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Ivan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Puluj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, Ternopil,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Ukraine</w:t>
      </w:r>
      <w:proofErr w:type="spellEnd"/>
    </w:p>
    <w:p w:rsidR="00396969" w:rsidRPr="00C07F64" w:rsidRDefault="002E4AC1" w:rsidP="002E4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  <w:r w:rsidRPr="00C07F64">
        <w:rPr>
          <w:sz w:val="24"/>
          <w:szCs w:val="24"/>
        </w:rPr>
        <w:br/>
      </w:r>
      <w:r w:rsidRPr="00C07F6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INVESTMENT CLIMAT IN UKRAINE</w:t>
      </w:r>
    </w:p>
    <w:p w:rsidR="002E4AC1" w:rsidRPr="00C07F64" w:rsidRDefault="002E4AC1" w:rsidP="0039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396969" w:rsidRPr="00C07F64" w:rsidRDefault="00396969" w:rsidP="0039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>Події останніх років значно вплинули на економічну систему країни. Конфлікт на Сході України, анексія Криму, політична та економічна нестабільність призвели до зменшення іноземних інвестицій, зокрема іноземні інвестори стикаються з невизначеністю щодо того, наскільки їхні інвестиції в Україну охороняються в час збройного конфлікту й військової окупації. Сьогодні Україна не може досягти економічного розвитку за рахунок власних фінансових ресурсів і потребує залучення іноземних коштів. Тому питання залучення іноземних інвестицій і створення сприятливого інвестиційного клімату є найбільш актуальним</w:t>
      </w:r>
      <w:r w:rsidR="00391B8A">
        <w:rPr>
          <w:rFonts w:ascii="Times New Roman" w:hAnsi="Times New Roman" w:cs="Times New Roman"/>
          <w:sz w:val="24"/>
          <w:szCs w:val="24"/>
          <w:lang w:val="en-US"/>
        </w:rPr>
        <w:t xml:space="preserve"> [1, c.260]</w:t>
      </w:r>
      <w:r w:rsidRPr="00C07F64">
        <w:rPr>
          <w:rFonts w:ascii="Times New Roman" w:hAnsi="Times New Roman" w:cs="Times New Roman"/>
          <w:sz w:val="24"/>
          <w:szCs w:val="24"/>
        </w:rPr>
        <w:t>.</w:t>
      </w:r>
    </w:p>
    <w:p w:rsidR="002E4AC1" w:rsidRPr="00C07F64" w:rsidRDefault="005A3D96" w:rsidP="002E4AC1">
      <w:pPr>
        <w:widowControl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 xml:space="preserve">З’ясовуючи особливості інвестиційної діяльності в нашій країні необхідно наголосити, що </w:t>
      </w:r>
      <w:r w:rsidR="002E4AC1" w:rsidRPr="00C07F64">
        <w:rPr>
          <w:rFonts w:ascii="Times New Roman" w:hAnsi="Times New Roman" w:cs="Times New Roman"/>
          <w:sz w:val="24"/>
          <w:szCs w:val="24"/>
        </w:rPr>
        <w:t>Україна має значний інвестиційний потенціал, а зок</w:t>
      </w:r>
      <w:r w:rsidR="002E4AC1" w:rsidRPr="00C07F64">
        <w:rPr>
          <w:rFonts w:ascii="Times New Roman" w:hAnsi="Times New Roman" w:cs="Times New Roman"/>
          <w:sz w:val="24"/>
          <w:szCs w:val="24"/>
        </w:rPr>
        <w:softHyphen/>
        <w:t>рема: є одним із найбільших потенційно містких ринків в Європі; володіє багатими природними ресурсами; має</w:t>
      </w:r>
      <w:r w:rsidRPr="00C07F64">
        <w:rPr>
          <w:rFonts w:ascii="Times New Roman" w:hAnsi="Times New Roman" w:cs="Times New Roman"/>
          <w:sz w:val="24"/>
          <w:szCs w:val="24"/>
        </w:rPr>
        <w:t xml:space="preserve"> </w:t>
      </w:r>
      <w:r w:rsidR="002E4AC1" w:rsidRPr="00C07F64">
        <w:rPr>
          <w:rFonts w:ascii="Times New Roman" w:hAnsi="Times New Roman" w:cs="Times New Roman"/>
          <w:sz w:val="24"/>
          <w:szCs w:val="24"/>
        </w:rPr>
        <w:t>високий рівень науково</w:t>
      </w:r>
      <w:r w:rsidRPr="00C07F64">
        <w:rPr>
          <w:rFonts w:ascii="Times New Roman" w:hAnsi="Times New Roman" w:cs="Times New Roman"/>
          <w:sz w:val="24"/>
          <w:szCs w:val="24"/>
        </w:rPr>
        <w:t>-</w:t>
      </w:r>
      <w:r w:rsidR="002E4AC1" w:rsidRPr="00C07F64">
        <w:rPr>
          <w:rFonts w:ascii="Times New Roman" w:hAnsi="Times New Roman" w:cs="Times New Roman"/>
          <w:sz w:val="24"/>
          <w:szCs w:val="24"/>
        </w:rPr>
        <w:softHyphen/>
        <w:t>дослідних розробок у багатьох галузях науки і техніки та значний науково</w:t>
      </w:r>
      <w:r w:rsidR="002E4AC1" w:rsidRPr="00C07F64">
        <w:rPr>
          <w:rFonts w:ascii="Times New Roman" w:hAnsi="Times New Roman" w:cs="Times New Roman"/>
          <w:sz w:val="24"/>
          <w:szCs w:val="24"/>
        </w:rPr>
        <w:softHyphen/>
        <w:t>-технічний потенціал; володіє значним сільськогосподарським по</w:t>
      </w:r>
      <w:r w:rsidR="002E4AC1" w:rsidRPr="00C07F64">
        <w:rPr>
          <w:rFonts w:ascii="Times New Roman" w:hAnsi="Times New Roman" w:cs="Times New Roman"/>
          <w:sz w:val="24"/>
          <w:szCs w:val="24"/>
        </w:rPr>
        <w:softHyphen/>
        <w:t xml:space="preserve">тенціалом (вигідне географічне розташування, сприятливий клімат, родючі </w:t>
      </w:r>
      <w:r w:rsidR="00C07F64" w:rsidRPr="00C07F64">
        <w:rPr>
          <w:rFonts w:ascii="Times New Roman" w:hAnsi="Times New Roman" w:cs="Times New Roman"/>
          <w:sz w:val="24"/>
          <w:szCs w:val="24"/>
        </w:rPr>
        <w:t>ґрунти</w:t>
      </w:r>
      <w:r w:rsidR="002E4AC1" w:rsidRPr="00C07F64">
        <w:rPr>
          <w:rFonts w:ascii="Times New Roman" w:hAnsi="Times New Roman" w:cs="Times New Roman"/>
          <w:sz w:val="24"/>
          <w:szCs w:val="24"/>
        </w:rPr>
        <w:t xml:space="preserve">); має добре розвинену інфраструктуру. Окрім того, привабливість української економіки для іноземних інвесторів </w:t>
      </w:r>
      <w:r w:rsidR="00C07F64" w:rsidRPr="00C07F64">
        <w:rPr>
          <w:rFonts w:ascii="Times New Roman" w:hAnsi="Times New Roman" w:cs="Times New Roman"/>
          <w:sz w:val="24"/>
          <w:szCs w:val="24"/>
        </w:rPr>
        <w:t>ґрунтується</w:t>
      </w:r>
      <w:r w:rsidR="002E4AC1" w:rsidRPr="00C07F64">
        <w:rPr>
          <w:rFonts w:ascii="Times New Roman" w:hAnsi="Times New Roman" w:cs="Times New Roman"/>
          <w:sz w:val="24"/>
          <w:szCs w:val="24"/>
        </w:rPr>
        <w:t xml:space="preserve"> на наявності відносно дешевої кваліфікованої робочої сили. Проте, незважаючи на ряд потенційних переваг, існують також фактори, що формують несприятливий та ризиковий інвестиційний клімат країни та гальмують надходження інвестиційних ресурсів у національну економіку. До них слід віднести: недосконалу нормативну базу з питань захисту законодавчих прав та інтересів інвесторів, нестабільну</w:t>
      </w:r>
      <w:r w:rsidRPr="00C07F64">
        <w:rPr>
          <w:rFonts w:ascii="Times New Roman" w:hAnsi="Times New Roman" w:cs="Times New Roman"/>
          <w:sz w:val="24"/>
          <w:szCs w:val="24"/>
        </w:rPr>
        <w:t xml:space="preserve"> політичну ситуації, нерозвине</w:t>
      </w:r>
      <w:r w:rsidRPr="00C07F64">
        <w:rPr>
          <w:rFonts w:ascii="Times New Roman" w:hAnsi="Times New Roman" w:cs="Times New Roman"/>
          <w:sz w:val="24"/>
          <w:szCs w:val="24"/>
        </w:rPr>
        <w:softHyphen/>
      </w:r>
      <w:r w:rsidR="002E4AC1" w:rsidRPr="00C07F64">
        <w:rPr>
          <w:rFonts w:ascii="Times New Roman" w:hAnsi="Times New Roman" w:cs="Times New Roman"/>
          <w:sz w:val="24"/>
          <w:szCs w:val="24"/>
        </w:rPr>
        <w:t>ну виробничу та соціальну інфраструктури, наявність корупційних схем, девальвація національної валюти, на</w:t>
      </w:r>
      <w:r w:rsidR="002E4AC1" w:rsidRPr="00C07F64">
        <w:rPr>
          <w:rFonts w:ascii="Times New Roman" w:hAnsi="Times New Roman" w:cs="Times New Roman"/>
          <w:sz w:val="24"/>
          <w:szCs w:val="24"/>
        </w:rPr>
        <w:softHyphen/>
        <w:t xml:space="preserve"> явність військових дій та інше</w:t>
      </w:r>
      <w:r w:rsidR="00391B8A">
        <w:rPr>
          <w:rFonts w:ascii="Times New Roman" w:hAnsi="Times New Roman" w:cs="Times New Roman"/>
          <w:sz w:val="24"/>
          <w:szCs w:val="24"/>
          <w:lang w:val="en-US"/>
        </w:rPr>
        <w:t xml:space="preserve"> [2, c.34-35]</w:t>
      </w:r>
      <w:r w:rsidR="002E4AC1" w:rsidRPr="00C07F64">
        <w:rPr>
          <w:rFonts w:ascii="Times New Roman" w:hAnsi="Times New Roman" w:cs="Times New Roman"/>
          <w:sz w:val="24"/>
          <w:szCs w:val="24"/>
        </w:rPr>
        <w:t>.</w:t>
      </w:r>
    </w:p>
    <w:p w:rsidR="002E4AC1" w:rsidRPr="00C07F64" w:rsidRDefault="005A3D96" w:rsidP="002E4AC1">
      <w:pPr>
        <w:widowControl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Сьогодні, інвестиційний </w:t>
      </w:r>
      <w:r w:rsidR="002E4AC1"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>процес в Україні характеризується відсутністю стабільності та значною залежністю обсягів капітальних інвестицій від зовнішніх та внутрішніх факторів. Відновлення інвестиційної активності у після кризовий період розпочалося зі суттєвим відставанням від динаміки економічного зростання. Лише у 2016 р. вдалося зупинити процес скорочення обсягів капітальних інвестицій та забезпечити їх приріст на рівні 69,94% порівняно із 2015</w:t>
      </w: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(рис. </w:t>
      </w:r>
      <w:r w:rsidR="002E4AC1"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>1).</w:t>
      </w:r>
    </w:p>
    <w:p w:rsidR="002E4AC1" w:rsidRPr="00C07F64" w:rsidRDefault="002E4AC1" w:rsidP="002E4AC1">
      <w:pPr>
        <w:widowControl w:val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6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74FBA5F9" wp14:editId="751B458D">
            <wp:extent cx="5657850" cy="3205164"/>
            <wp:effectExtent l="0" t="0" r="0" b="1460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4AC1" w:rsidRPr="00C07F64" w:rsidRDefault="005A3D96" w:rsidP="002E4AC1">
      <w:pPr>
        <w:widowControl w:val="0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>Рис.</w:t>
      </w:r>
      <w:r w:rsidR="002E4AC1"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Динаміка зміни капітальних та прямих іноземних інвестицій </w:t>
      </w:r>
    </w:p>
    <w:p w:rsidR="002E4AC1" w:rsidRPr="00C07F64" w:rsidRDefault="002E4AC1" w:rsidP="002E4AC1">
      <w:pPr>
        <w:widowControl w:val="0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>в Україні в 2002–2018 рр.</w:t>
      </w:r>
      <w:r w:rsidRPr="00C07F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</w:t>
      </w:r>
      <w:proofErr w:type="gramStart"/>
      <w:r w:rsidR="00391B8A">
        <w:rPr>
          <w:rFonts w:ascii="Times New Roman" w:hAnsi="Times New Roman" w:cs="Times New Roman"/>
          <w:color w:val="000000" w:themeColor="text1"/>
          <w:sz w:val="24"/>
          <w:szCs w:val="24"/>
        </w:rPr>
        <w:t>складено</w:t>
      </w:r>
      <w:proofErr w:type="gramEnd"/>
      <w:r w:rsidR="00391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основі </w:t>
      </w:r>
      <w:r w:rsidR="00391B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[3</w:t>
      </w:r>
      <w:r w:rsidRPr="00C07F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391B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</w:p>
    <w:p w:rsidR="002E4AC1" w:rsidRPr="00C07F64" w:rsidRDefault="002E4AC1" w:rsidP="002E4AC1">
      <w:pPr>
        <w:widowControl w:val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AC1" w:rsidRPr="00C07F64" w:rsidRDefault="002E4AC1" w:rsidP="002E4AC1">
      <w:pPr>
        <w:widowControl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подальшому спостерігається динаміка до зростання обсягів, як капітальних так і прямих іноземних інвестицій в Україні. В період 2016-2017 рр. показник капітальних інвестицій зростає на 31,53%, а за період 2017-2018 рр. приріст складав 24,86%. Збільшується обсяг прямих іноземних інвестицій за період 2016-2017 рр. на 3,76% та за період 2017-2018 рр. на 4,35%. </w:t>
      </w:r>
    </w:p>
    <w:p w:rsidR="005A3D96" w:rsidRPr="00C07F64" w:rsidRDefault="005A3D96" w:rsidP="005A3D96">
      <w:pPr>
        <w:widowControl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2017 році спостерігається позитивна тенденція зростання обсягів прямих іноземних інвестицій як у регіональному розрізі, так і в межах усієї економіки України. Більше того, спостерігався найбільше зростання інвестиційних надходжень в центральних областях. Завдяки цьому три центральні області мали найбільші темпи нарощування обсягів капітальних інвестицій: Чернігівська область є лідером за темпом приросту прямих іноземних інвестицій, відповідний показник зростання становив 78,08%, Кіровоградська область -15,96%, Вінницька область – 13%. </w:t>
      </w:r>
    </w:p>
    <w:p w:rsidR="005A3D96" w:rsidRPr="00C07F64" w:rsidRDefault="005A3D96" w:rsidP="005A3D96">
      <w:pPr>
        <w:widowControl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Найбільший загальний темп зростання прямого іноземного інвестування мав місце у </w:t>
      </w: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періоді 2012-2013 рр. і становив 7,28%, зростання також відбувалося за період 2016-2017 рр. на 3,76%, а також за період 2017-2018 рр. – 4,35%. Дане зростання відчувалося по всіх регіонах і передбачило позитивні тенденції у їх розвитку. </w:t>
      </w:r>
    </w:p>
    <w:p w:rsidR="0038108A" w:rsidRPr="00C07F64" w:rsidRDefault="0038108A" w:rsidP="00C07F64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Подальші перспективи розвитку вітчизняної економіки базуються на широкому залученні інвестиційних ресурсів. </w:t>
      </w:r>
      <w:r w:rsidRPr="00C07F64">
        <w:rPr>
          <w:rFonts w:ascii="Times New Roman" w:hAnsi="Times New Roman" w:cs="Times New Roman"/>
          <w:sz w:val="24"/>
          <w:szCs w:val="24"/>
        </w:rPr>
        <w:t>До основних перспектив щодо залучення інвестицій</w:t>
      </w:r>
      <w:r w:rsidR="00C07F64" w:rsidRPr="00C07F64">
        <w:rPr>
          <w:rFonts w:ascii="Times New Roman" w:hAnsi="Times New Roman" w:cs="Times New Roman"/>
          <w:sz w:val="24"/>
          <w:szCs w:val="24"/>
        </w:rPr>
        <w:t xml:space="preserve"> в економіку України</w:t>
      </w:r>
      <w:r w:rsidRPr="00C07F64">
        <w:rPr>
          <w:rFonts w:ascii="Times New Roman" w:hAnsi="Times New Roman" w:cs="Times New Roman"/>
          <w:sz w:val="24"/>
          <w:szCs w:val="24"/>
        </w:rPr>
        <w:t xml:space="preserve"> можна віднести</w:t>
      </w:r>
      <w:r w:rsidR="00391B8A">
        <w:rPr>
          <w:rFonts w:ascii="Times New Roman" w:hAnsi="Times New Roman" w:cs="Times New Roman"/>
          <w:sz w:val="24"/>
          <w:szCs w:val="24"/>
          <w:lang w:val="en-US"/>
        </w:rPr>
        <w:t xml:space="preserve"> [4, c.166]</w:t>
      </w:r>
      <w:r w:rsidRPr="00C07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108A" w:rsidRPr="00C07F64" w:rsidRDefault="0038108A" w:rsidP="00C07F64">
      <w:pPr>
        <w:pStyle w:val="a3"/>
        <w:widowControl w:val="0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 xml:space="preserve">потужний природно-ресурсний потенціал, наявність кваліфікованих робочих кадрів, які можуть швидко пристосуватися до новітніх технологій стосовно виробництва, низька заробітна плата; </w:t>
      </w:r>
    </w:p>
    <w:p w:rsidR="0038108A" w:rsidRPr="00C07F64" w:rsidRDefault="0038108A" w:rsidP="00C07F64">
      <w:pPr>
        <w:pStyle w:val="a3"/>
        <w:widowControl w:val="0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>наближеність до країн ЄС та територіальне розміщення загалом;</w:t>
      </w:r>
    </w:p>
    <w:p w:rsidR="0038108A" w:rsidRPr="00C07F64" w:rsidRDefault="0038108A" w:rsidP="00C07F64">
      <w:pPr>
        <w:pStyle w:val="a3"/>
        <w:widowControl w:val="0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 xml:space="preserve">наявність досить перспективних галузей, які потребують інвестицій, достатня кількість інноваційних бізнес ідей та проектів; </w:t>
      </w:r>
    </w:p>
    <w:p w:rsidR="0038108A" w:rsidRPr="00C07F64" w:rsidRDefault="0038108A" w:rsidP="00C07F64">
      <w:pPr>
        <w:pStyle w:val="a3"/>
        <w:widowControl w:val="0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>позитивні зрушення в розвитку та вдосконаленні соціально-економічного підґрунтя для залучення інвестицій, швидка адаптованість країни до зовнішніх факторів, ризиків, світових шоків.</w:t>
      </w:r>
    </w:p>
    <w:p w:rsidR="006C0618" w:rsidRDefault="006C0618" w:rsidP="0039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</w:p>
    <w:p w:rsidR="00C07F64" w:rsidRDefault="00C07F64" w:rsidP="00C0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C07F6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Список використаних джерел: </w:t>
      </w:r>
    </w:p>
    <w:p w:rsidR="00C07F64" w:rsidRPr="00C07F64" w:rsidRDefault="00C07F64" w:rsidP="00C07F64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07F64">
        <w:rPr>
          <w:rFonts w:ascii="Times New Roman" w:hAnsi="Times New Roman" w:cs="Times New Roman"/>
          <w:sz w:val="24"/>
          <w:szCs w:val="24"/>
        </w:rPr>
        <w:t>Крихівська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Н.О. Інвестиційна привабливість України: основні проблеми та шляхи їх вирішення / Н.О.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Крихівська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Г.М.Чернишова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// Економіка та суспільство. – 2017. - №9. – С. 260 – 264.</w:t>
      </w:r>
    </w:p>
    <w:p w:rsidR="00C07F64" w:rsidRPr="00C07F64" w:rsidRDefault="00C07F64" w:rsidP="00C07F64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>Мордань Є. Ю. Інвестиційний клімат України та шляхи його поліпшення / Є.Ю. Мордань, А.В. Гуща // Інвестиції: практика та досвід. – 2017. - № 17. – С.34- 38.</w:t>
      </w:r>
    </w:p>
    <w:p w:rsidR="00C07F64" w:rsidRPr="00C07F64" w:rsidRDefault="00C07F64" w:rsidP="00C07F64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color w:val="000000" w:themeColor="text1"/>
          <w:sz w:val="24"/>
          <w:szCs w:val="24"/>
        </w:rPr>
        <w:t>Офіційний сайт Державної служби статистики [Електронний ресурс]. - Режим доступу: http://www.ukrstat.gov.ua</w:t>
      </w:r>
    </w:p>
    <w:p w:rsidR="00C07F64" w:rsidRPr="00C07F64" w:rsidRDefault="00C07F64" w:rsidP="00C07F64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C07F64">
        <w:rPr>
          <w:rFonts w:ascii="Times New Roman" w:hAnsi="Times New Roman" w:cs="Times New Roman"/>
          <w:sz w:val="24"/>
          <w:szCs w:val="24"/>
        </w:rPr>
        <w:t xml:space="preserve">Швець Ю. О. Оцінка інвестиційного клімату в Україні: стан, проблеми та шляхи його поліпшення / Ю.О. Швець, О.В. </w:t>
      </w:r>
      <w:proofErr w:type="spellStart"/>
      <w:r w:rsidRPr="00C07F64">
        <w:rPr>
          <w:rFonts w:ascii="Times New Roman" w:hAnsi="Times New Roman" w:cs="Times New Roman"/>
          <w:sz w:val="24"/>
          <w:szCs w:val="24"/>
        </w:rPr>
        <w:t>Бурдило</w:t>
      </w:r>
      <w:proofErr w:type="spellEnd"/>
      <w:r w:rsidRPr="00C07F64">
        <w:rPr>
          <w:rFonts w:ascii="Times New Roman" w:hAnsi="Times New Roman" w:cs="Times New Roman"/>
          <w:sz w:val="24"/>
          <w:szCs w:val="24"/>
        </w:rPr>
        <w:t xml:space="preserve"> // Науковий вісник Ужгородського національного університету. – 2017. – Вип.17 – ч.2. – С. 165 – 168.</w:t>
      </w:r>
    </w:p>
    <w:p w:rsidR="00C07F64" w:rsidRPr="00C07F64" w:rsidRDefault="00C07F64" w:rsidP="0039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t xml:space="preserve"> </w:t>
      </w:r>
    </w:p>
    <w:p w:rsidR="00C07F64" w:rsidRPr="00BE61FF" w:rsidRDefault="00C07F64" w:rsidP="0039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</w:p>
    <w:p w:rsidR="00817DC4" w:rsidRDefault="00817DC4"/>
    <w:sectPr w:rsidR="00817DC4" w:rsidSect="000571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26ACA"/>
    <w:multiLevelType w:val="hybridMultilevel"/>
    <w:tmpl w:val="1F8469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C65479"/>
    <w:multiLevelType w:val="hybridMultilevel"/>
    <w:tmpl w:val="C0FAE0AA"/>
    <w:lvl w:ilvl="0" w:tplc="0ED09B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E371D7"/>
    <w:multiLevelType w:val="hybridMultilevel"/>
    <w:tmpl w:val="551C6B4A"/>
    <w:lvl w:ilvl="0" w:tplc="9808068E">
      <w:start w:val="1"/>
      <w:numFmt w:val="decimal"/>
      <w:lvlText w:val="%1."/>
      <w:lvlJc w:val="left"/>
      <w:pPr>
        <w:ind w:left="123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04"/>
    <w:rsid w:val="00057174"/>
    <w:rsid w:val="002E4AC1"/>
    <w:rsid w:val="0038108A"/>
    <w:rsid w:val="00391B8A"/>
    <w:rsid w:val="00396969"/>
    <w:rsid w:val="0041138B"/>
    <w:rsid w:val="005A3D96"/>
    <w:rsid w:val="00696F10"/>
    <w:rsid w:val="006C0618"/>
    <w:rsid w:val="00817DC4"/>
    <w:rsid w:val="00997304"/>
    <w:rsid w:val="00B42943"/>
    <w:rsid w:val="00BB3117"/>
    <w:rsid w:val="00BE61FF"/>
    <w:rsid w:val="00C0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FFFA9-2B93-43F4-A645-73709583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04"/>
    <w:pPr>
      <w:ind w:firstLine="51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61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</c:f>
              <c:strCache>
                <c:ptCount val="1"/>
                <c:pt idx="0">
                  <c:v>Обсяги капітальних інвестицій, млрд. грн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Лист1!$E$6:$U$6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Лист1!$E$7:$U$7</c:f>
              <c:numCache>
                <c:formatCode>General</c:formatCode>
                <c:ptCount val="17"/>
                <c:pt idx="0">
                  <c:v>19.8</c:v>
                </c:pt>
                <c:pt idx="1">
                  <c:v>31.6</c:v>
                </c:pt>
                <c:pt idx="2">
                  <c:v>48.8</c:v>
                </c:pt>
                <c:pt idx="3">
                  <c:v>111.2</c:v>
                </c:pt>
                <c:pt idx="4">
                  <c:v>148.9</c:v>
                </c:pt>
                <c:pt idx="5">
                  <c:v>222.7</c:v>
                </c:pt>
                <c:pt idx="6">
                  <c:v>272.10000000000002</c:v>
                </c:pt>
                <c:pt idx="7">
                  <c:v>192.9</c:v>
                </c:pt>
                <c:pt idx="8">
                  <c:v>189.1</c:v>
                </c:pt>
                <c:pt idx="9">
                  <c:v>259.89999999999998</c:v>
                </c:pt>
                <c:pt idx="10">
                  <c:v>263.7</c:v>
                </c:pt>
                <c:pt idx="11">
                  <c:v>249.9</c:v>
                </c:pt>
                <c:pt idx="12">
                  <c:v>219.4</c:v>
                </c:pt>
                <c:pt idx="13">
                  <c:v>160.69999999999999</c:v>
                </c:pt>
                <c:pt idx="14">
                  <c:v>273.10000000000002</c:v>
                </c:pt>
                <c:pt idx="15">
                  <c:v>359.2</c:v>
                </c:pt>
                <c:pt idx="16">
                  <c:v>448.5</c:v>
                </c:pt>
              </c:numCache>
            </c:numRef>
          </c:val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Обсяги прямих іноземних інвестицій, млн. дол. США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Лист1!$E$6:$U$6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Лист1!$E$8:$U$8</c:f>
              <c:numCache>
                <c:formatCode>General</c:formatCode>
                <c:ptCount val="17"/>
                <c:pt idx="0">
                  <c:v>4.5999999999999996</c:v>
                </c:pt>
                <c:pt idx="1">
                  <c:v>5.5</c:v>
                </c:pt>
                <c:pt idx="2">
                  <c:v>6.8</c:v>
                </c:pt>
                <c:pt idx="3">
                  <c:v>9.1</c:v>
                </c:pt>
                <c:pt idx="4">
                  <c:v>16.899999999999999</c:v>
                </c:pt>
                <c:pt idx="5">
                  <c:v>21.7</c:v>
                </c:pt>
                <c:pt idx="6">
                  <c:v>29.6</c:v>
                </c:pt>
                <c:pt idx="7">
                  <c:v>35.6</c:v>
                </c:pt>
                <c:pt idx="8">
                  <c:v>40.1</c:v>
                </c:pt>
                <c:pt idx="9">
                  <c:v>44.8</c:v>
                </c:pt>
                <c:pt idx="10">
                  <c:v>48.2</c:v>
                </c:pt>
                <c:pt idx="11">
                  <c:v>51.7</c:v>
                </c:pt>
                <c:pt idx="12">
                  <c:v>53.7</c:v>
                </c:pt>
                <c:pt idx="13">
                  <c:v>40.700000000000003</c:v>
                </c:pt>
                <c:pt idx="14">
                  <c:v>36.200000000000003</c:v>
                </c:pt>
                <c:pt idx="15">
                  <c:v>37.5</c:v>
                </c:pt>
                <c:pt idx="16">
                  <c:v>39.1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115280"/>
        <c:axId val="364115672"/>
      </c:barChart>
      <c:lineChart>
        <c:grouping val="standard"/>
        <c:varyColors val="0"/>
        <c:ser>
          <c:idx val="2"/>
          <c:order val="2"/>
          <c:tx>
            <c:strRef>
              <c:f>Лист1!$A$9</c:f>
              <c:strCache>
                <c:ptCount val="1"/>
                <c:pt idx="0">
                  <c:v>Темпи зростання обсягів капітальних інвестицій, у % до попереднього року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Лист1!$E$9:$U$9</c:f>
              <c:numCache>
                <c:formatCode>0.00%</c:formatCode>
                <c:ptCount val="17"/>
                <c:pt idx="1">
                  <c:v>0.59595959595959602</c:v>
                </c:pt>
                <c:pt idx="2">
                  <c:v>0.54430379746835422</c:v>
                </c:pt>
                <c:pt idx="3">
                  <c:v>1.278688524590164</c:v>
                </c:pt>
                <c:pt idx="4">
                  <c:v>0.33902877697841727</c:v>
                </c:pt>
                <c:pt idx="5">
                  <c:v>0.49563465413028873</c:v>
                </c:pt>
                <c:pt idx="6">
                  <c:v>0.22182308037718923</c:v>
                </c:pt>
                <c:pt idx="7">
                  <c:v>-0.29106945975744214</c:v>
                </c:pt>
                <c:pt idx="8">
                  <c:v>-1.9699326075686918E-2</c:v>
                </c:pt>
                <c:pt idx="9">
                  <c:v>0.37440507667900569</c:v>
                </c:pt>
                <c:pt idx="10">
                  <c:v>1.4621008080030862E-2</c:v>
                </c:pt>
                <c:pt idx="11">
                  <c:v>-5.2332195676905502E-2</c:v>
                </c:pt>
                <c:pt idx="12">
                  <c:v>-0.1220488195278111</c:v>
                </c:pt>
                <c:pt idx="13">
                  <c:v>-0.26754785779398371</c:v>
                </c:pt>
                <c:pt idx="14">
                  <c:v>0.69943995021779748</c:v>
                </c:pt>
                <c:pt idx="15">
                  <c:v>0.31526913218601238</c:v>
                </c:pt>
                <c:pt idx="16">
                  <c:v>0.24860801781737196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Лист1!$A$10</c:f>
              <c:strCache>
                <c:ptCount val="1"/>
                <c:pt idx="0">
                  <c:v>Темпи зростання обсягів прямих іноземних інвестицій, у % до попереднього року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Лист1!$E$10:$U$10</c:f>
              <c:numCache>
                <c:formatCode>0.00%</c:formatCode>
                <c:ptCount val="17"/>
                <c:pt idx="1">
                  <c:v>0.19565217391304368</c:v>
                </c:pt>
                <c:pt idx="2">
                  <c:v>0.23636363636363633</c:v>
                </c:pt>
                <c:pt idx="3">
                  <c:v>0.33823529411764697</c:v>
                </c:pt>
                <c:pt idx="4">
                  <c:v>0.85714285714285698</c:v>
                </c:pt>
                <c:pt idx="5">
                  <c:v>0.28402366863905337</c:v>
                </c:pt>
                <c:pt idx="6">
                  <c:v>0.3640552995391706</c:v>
                </c:pt>
                <c:pt idx="7">
                  <c:v>0.20270270270270263</c:v>
                </c:pt>
                <c:pt idx="8">
                  <c:v>0.12640449438202239</c:v>
                </c:pt>
                <c:pt idx="9">
                  <c:v>0.11720698254364081</c:v>
                </c:pt>
                <c:pt idx="10">
                  <c:v>7.5892857142857206E-2</c:v>
                </c:pt>
                <c:pt idx="11">
                  <c:v>7.2614107883817391E-2</c:v>
                </c:pt>
                <c:pt idx="12">
                  <c:v>3.8684719535783341E-2</c:v>
                </c:pt>
                <c:pt idx="13">
                  <c:v>-0.24208566108007445</c:v>
                </c:pt>
                <c:pt idx="14">
                  <c:v>-0.11056511056511054</c:v>
                </c:pt>
                <c:pt idx="15">
                  <c:v>3.5911602209944604E-2</c:v>
                </c:pt>
                <c:pt idx="16">
                  <c:v>4.2666666666666631E-2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4116456"/>
        <c:axId val="364116064"/>
      </c:lineChart>
      <c:catAx>
        <c:axId val="36411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115672"/>
        <c:crosses val="autoZero"/>
        <c:auto val="1"/>
        <c:lblAlgn val="ctr"/>
        <c:lblOffset val="100"/>
        <c:noMultiLvlLbl val="0"/>
      </c:catAx>
      <c:valAx>
        <c:axId val="364115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115280"/>
        <c:crosses val="autoZero"/>
        <c:crossBetween val="between"/>
      </c:valAx>
      <c:valAx>
        <c:axId val="364116064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116456"/>
        <c:crosses val="max"/>
        <c:crossBetween val="between"/>
      </c:valAx>
      <c:catAx>
        <c:axId val="364116456"/>
        <c:scaling>
          <c:orientation val="minMax"/>
        </c:scaling>
        <c:delete val="1"/>
        <c:axPos val="b"/>
        <c:majorTickMark val="out"/>
        <c:minorTickMark val="none"/>
        <c:tickLblPos val="nextTo"/>
        <c:crossAx val="3641160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Serghiy</dc:creator>
  <cp:keywords/>
  <dc:description/>
  <cp:lastModifiedBy>Serghiy</cp:lastModifiedBy>
  <cp:revision>7</cp:revision>
  <dcterms:created xsi:type="dcterms:W3CDTF">2019-03-19T17:19:00Z</dcterms:created>
  <dcterms:modified xsi:type="dcterms:W3CDTF">2019-03-23T11:14:00Z</dcterms:modified>
</cp:coreProperties>
</file>