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3A" w:rsidRPr="000C7145" w:rsidRDefault="0007643A" w:rsidP="007E4AF7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07643A" w:rsidRPr="000C7145" w:rsidRDefault="0007643A" w:rsidP="007E4AF7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07643A" w:rsidRPr="000C7145" w:rsidRDefault="0007643A" w:rsidP="007E4AF7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07643A" w:rsidRPr="007E4AF7" w:rsidRDefault="0007643A" w:rsidP="007E4AF7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7E4AF7">
        <w:rPr>
          <w:color w:val="000000"/>
          <w:sz w:val="28"/>
          <w:szCs w:val="28"/>
          <w:lang w:val="ru-RU"/>
        </w:rPr>
        <w:t>ФАКУЛЬТЕТ КОМП'ЮТЕРНО-ІНФОРМАЦІЙНИХ СИСТЕМ І ПРОГРАМНОЇ ІНЖЕНЕРІЇ</w:t>
      </w:r>
    </w:p>
    <w:p w:rsidR="0007643A" w:rsidRPr="007E4AF7" w:rsidRDefault="0007643A" w:rsidP="007E4AF7">
      <w:pPr>
        <w:pStyle w:val="2"/>
        <w:ind w:firstLine="709"/>
        <w:jc w:val="center"/>
        <w:rPr>
          <w:sz w:val="24"/>
          <w:szCs w:val="24"/>
        </w:rPr>
      </w:pPr>
    </w:p>
    <w:p w:rsidR="0007643A" w:rsidRPr="000C7145" w:rsidRDefault="0007643A" w:rsidP="007E4AF7">
      <w:pPr>
        <w:pStyle w:val="2"/>
        <w:ind w:firstLine="709"/>
        <w:jc w:val="center"/>
        <w:rPr>
          <w:sz w:val="24"/>
          <w:szCs w:val="24"/>
        </w:rPr>
      </w:pPr>
    </w:p>
    <w:p w:rsidR="0007643A" w:rsidRPr="000C7145" w:rsidRDefault="0007643A" w:rsidP="007E4AF7">
      <w:pPr>
        <w:pStyle w:val="2"/>
        <w:ind w:firstLine="709"/>
        <w:jc w:val="center"/>
        <w:rPr>
          <w:sz w:val="24"/>
          <w:szCs w:val="24"/>
        </w:rPr>
      </w:pPr>
    </w:p>
    <w:p w:rsidR="0007643A" w:rsidRPr="00EA7B96" w:rsidRDefault="0007643A" w:rsidP="007E4AF7">
      <w:pPr>
        <w:pStyle w:val="2"/>
        <w:ind w:firstLine="0"/>
        <w:jc w:val="center"/>
        <w:rPr>
          <w:b/>
          <w:bCs/>
          <w:sz w:val="32"/>
          <w:szCs w:val="28"/>
        </w:rPr>
      </w:pPr>
      <w:r w:rsidRPr="00EA7B96">
        <w:rPr>
          <w:b/>
          <w:caps/>
          <w:sz w:val="28"/>
          <w:szCs w:val="28"/>
        </w:rPr>
        <w:t>гуменний андрій олександрович</w:t>
      </w:r>
    </w:p>
    <w:p w:rsidR="0007643A" w:rsidRPr="000C7145" w:rsidRDefault="0007643A" w:rsidP="007E4AF7">
      <w:pPr>
        <w:pStyle w:val="2"/>
        <w:ind w:firstLine="709"/>
        <w:rPr>
          <w:b/>
          <w:bCs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rPr>
          <w:sz w:val="24"/>
          <w:szCs w:val="24"/>
        </w:rPr>
      </w:pPr>
    </w:p>
    <w:p w:rsidR="0007643A" w:rsidRPr="000C7145" w:rsidRDefault="0007643A" w:rsidP="007E4AF7">
      <w:pPr>
        <w:pStyle w:val="2"/>
        <w:ind w:firstLine="709"/>
        <w:rPr>
          <w:sz w:val="24"/>
          <w:szCs w:val="24"/>
        </w:rPr>
      </w:pPr>
    </w:p>
    <w:p w:rsidR="0007643A" w:rsidRPr="000C7145" w:rsidRDefault="0007643A" w:rsidP="007E4AF7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 xml:space="preserve">УДК </w:t>
      </w:r>
      <w:r>
        <w:rPr>
          <w:sz w:val="28"/>
          <w:szCs w:val="28"/>
        </w:rPr>
        <w:t>004.422</w:t>
      </w:r>
    </w:p>
    <w:p w:rsidR="0007643A" w:rsidRPr="000C7145" w:rsidRDefault="0007643A" w:rsidP="007E4AF7">
      <w:pPr>
        <w:pStyle w:val="2"/>
        <w:ind w:firstLine="709"/>
        <w:rPr>
          <w:sz w:val="24"/>
          <w:szCs w:val="24"/>
        </w:rPr>
      </w:pPr>
    </w:p>
    <w:p w:rsidR="0007643A" w:rsidRPr="000C7145" w:rsidRDefault="0007643A" w:rsidP="007E4AF7">
      <w:pPr>
        <w:pStyle w:val="2"/>
        <w:ind w:firstLine="709"/>
        <w:rPr>
          <w:sz w:val="24"/>
          <w:szCs w:val="24"/>
        </w:rPr>
      </w:pPr>
    </w:p>
    <w:p w:rsidR="0007643A" w:rsidRPr="000C7145" w:rsidRDefault="0007643A" w:rsidP="007E4AF7">
      <w:pPr>
        <w:pStyle w:val="2"/>
        <w:ind w:firstLine="709"/>
        <w:rPr>
          <w:sz w:val="24"/>
          <w:szCs w:val="24"/>
        </w:rPr>
      </w:pPr>
    </w:p>
    <w:p w:rsidR="0007643A" w:rsidRPr="000C7145" w:rsidRDefault="0007643A" w:rsidP="007E4AF7">
      <w:pPr>
        <w:pStyle w:val="2"/>
        <w:ind w:firstLine="709"/>
        <w:rPr>
          <w:sz w:val="24"/>
          <w:szCs w:val="24"/>
        </w:rPr>
      </w:pPr>
    </w:p>
    <w:p w:rsidR="0007643A" w:rsidRPr="00223164" w:rsidRDefault="0007643A" w:rsidP="007E4AF7">
      <w:pPr>
        <w:pStyle w:val="2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shd w:val="solid" w:color="FFFFFF" w:fill="FFFFFF"/>
        </w:rPr>
        <w:t>УДОСКОНАЛЕННЯ КОМПЛЕКСНОЇ СИСТЕМИ ІНФОРМАЦІЇ НОВОПОРІЧАНСЬКОЇ СІЛЬСЬКОЇ РАДИ З УРАХУВАННЯМ МІЖНАРОДНОГО ДОСВІДУ</w:t>
      </w:r>
    </w:p>
    <w:p w:rsidR="0007643A" w:rsidRPr="000C7145" w:rsidRDefault="0007643A" w:rsidP="007E4AF7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07643A" w:rsidRPr="00125426" w:rsidRDefault="0007643A" w:rsidP="007E4AF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125426">
        <w:rPr>
          <w:sz w:val="28"/>
          <w:szCs w:val="28"/>
        </w:rPr>
        <w:t>12</w:t>
      </w:r>
      <w:r>
        <w:rPr>
          <w:sz w:val="28"/>
          <w:szCs w:val="28"/>
        </w:rPr>
        <w:t>5</w:t>
      </w:r>
      <w:r w:rsidRPr="00125426"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</w:rPr>
        <w:t>Кібербезпека</w:t>
      </w:r>
      <w:proofErr w:type="spellEnd"/>
      <w:r w:rsidRPr="00125426">
        <w:rPr>
          <w:sz w:val="28"/>
          <w:szCs w:val="28"/>
        </w:rPr>
        <w:t>»</w:t>
      </w:r>
    </w:p>
    <w:p w:rsidR="0007643A" w:rsidRPr="000C7145" w:rsidRDefault="0007643A" w:rsidP="007E4AF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07643A" w:rsidRPr="000C7145" w:rsidRDefault="0007643A" w:rsidP="007E4AF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07643A" w:rsidRPr="000C7145" w:rsidRDefault="0007643A" w:rsidP="007E4AF7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07643A" w:rsidRPr="000C7145" w:rsidRDefault="0007643A" w:rsidP="007E4AF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07643A" w:rsidRDefault="0007643A" w:rsidP="007E4AF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07643A" w:rsidRDefault="0007643A" w:rsidP="007E4AF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07643A" w:rsidRPr="000C7145" w:rsidRDefault="0007643A" w:rsidP="007E4AF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07643A" w:rsidRDefault="0007643A" w:rsidP="007E4AF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07643A" w:rsidRPr="000C7145" w:rsidRDefault="0007643A" w:rsidP="007E4AF7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07643A" w:rsidRPr="000C7145">
          <w:headerReference w:type="even" r:id="rId7"/>
          <w:headerReference w:type="default" r:id="rId8"/>
          <w:footerReference w:type="default" r:id="rId9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>
        <w:rPr>
          <w:spacing w:val="-5"/>
          <w:kern w:val="16"/>
          <w:sz w:val="28"/>
          <w:szCs w:val="28"/>
        </w:rPr>
        <w:t>8</w:t>
      </w:r>
    </w:p>
    <w:p w:rsidR="0007643A" w:rsidRPr="000C7145" w:rsidRDefault="0007643A" w:rsidP="007E4AF7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07643A" w:rsidRPr="000C7145" w:rsidTr="00D56FD2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43A" w:rsidRPr="000C7145" w:rsidRDefault="0007643A" w:rsidP="00D56FD2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lastRenderedPageBreak/>
              <w:t xml:space="preserve">Роботу виконано </w:t>
            </w:r>
            <w:r>
              <w:rPr>
                <w:sz w:val="28"/>
                <w:szCs w:val="28"/>
              </w:rPr>
              <w:t>на кафедрі кібербезпеки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07643A" w:rsidRPr="000C7145" w:rsidRDefault="0007643A" w:rsidP="00D56FD2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07643A" w:rsidRPr="000C7145" w:rsidTr="00D56FD2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7643A" w:rsidRPr="000C7145" w:rsidRDefault="0007643A" w:rsidP="00D56FD2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7643A" w:rsidRDefault="0007643A" w:rsidP="00D56FD2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юридичних</w:t>
            </w:r>
            <w:r w:rsidRPr="000C7145">
              <w:rPr>
                <w:sz w:val="28"/>
                <w:szCs w:val="28"/>
              </w:rPr>
              <w:t xml:space="preserve"> наук, </w:t>
            </w:r>
            <w:r>
              <w:rPr>
                <w:sz w:val="28"/>
                <w:szCs w:val="28"/>
              </w:rPr>
              <w:t>старший викладач кафедри кібербезпеки</w:t>
            </w:r>
          </w:p>
          <w:p w:rsidR="0007643A" w:rsidRDefault="0007643A" w:rsidP="00D56FD2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Муж Валерій Вікторович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07643A" w:rsidRPr="000C7145" w:rsidRDefault="0007643A" w:rsidP="00D56FD2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07643A" w:rsidRPr="000C7145" w:rsidRDefault="0007643A" w:rsidP="00D56FD2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07643A" w:rsidRPr="000C7145" w:rsidRDefault="0007643A" w:rsidP="00D56FD2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07643A" w:rsidRPr="000C7145" w:rsidTr="00D56FD2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7643A" w:rsidRPr="000C7145" w:rsidRDefault="0007643A" w:rsidP="00D56FD2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7643A" w:rsidRPr="000C7145" w:rsidRDefault="0007643A" w:rsidP="00D56FD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 технічних</w:t>
            </w:r>
            <w:r w:rsidRPr="000C7145">
              <w:rPr>
                <w:color w:val="auto"/>
                <w:sz w:val="28"/>
                <w:szCs w:val="28"/>
              </w:rPr>
              <w:t xml:space="preserve"> наук, </w:t>
            </w:r>
            <w:r>
              <w:rPr>
                <w:color w:val="auto"/>
                <w:sz w:val="28"/>
                <w:szCs w:val="28"/>
              </w:rPr>
              <w:t>доцент кафедри комп’ютерно-інтегрованих технологій</w:t>
            </w:r>
          </w:p>
          <w:p w:rsidR="0007643A" w:rsidRPr="000C7145" w:rsidRDefault="0007643A" w:rsidP="00D56FD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Золотий Роман Захарійович</w:t>
            </w:r>
            <w:r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07643A" w:rsidRPr="000C7145" w:rsidRDefault="0007643A" w:rsidP="00D56FD2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Pr="000C7145">
              <w:rPr>
                <w:color w:val="auto"/>
                <w:sz w:val="28"/>
                <w:szCs w:val="28"/>
              </w:rPr>
              <w:t>,</w:t>
            </w:r>
          </w:p>
          <w:p w:rsidR="0007643A" w:rsidRPr="000C7145" w:rsidRDefault="0007643A" w:rsidP="00D56FD2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07643A" w:rsidRPr="000C7145" w:rsidRDefault="0007643A" w:rsidP="00D56FD2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07643A" w:rsidRPr="000C7145" w:rsidRDefault="0007643A" w:rsidP="007E4AF7">
      <w:pPr>
        <w:pStyle w:val="2"/>
        <w:ind w:firstLine="709"/>
        <w:rPr>
          <w:sz w:val="28"/>
          <w:szCs w:val="28"/>
        </w:rPr>
      </w:pPr>
    </w:p>
    <w:p w:rsidR="0007643A" w:rsidRPr="00CC35DE" w:rsidRDefault="0007643A" w:rsidP="007E4AF7">
      <w:pPr>
        <w:pStyle w:val="2"/>
        <w:ind w:firstLine="709"/>
        <w:rPr>
          <w:sz w:val="28"/>
          <w:szCs w:val="28"/>
        </w:rPr>
      </w:pPr>
      <w:r w:rsidRPr="000C7145">
        <w:rPr>
          <w:sz w:val="28"/>
          <w:szCs w:val="28"/>
        </w:rPr>
        <w:t xml:space="preserve">Захист відбудеться </w:t>
      </w:r>
      <w:r>
        <w:rPr>
          <w:sz w:val="28"/>
          <w:szCs w:val="28"/>
        </w:rPr>
        <w:t>28 грудня</w:t>
      </w:r>
      <w:r w:rsidRPr="000C714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C7145">
        <w:rPr>
          <w:sz w:val="28"/>
          <w:szCs w:val="28"/>
          <w:lang w:val="ru-RU"/>
        </w:rPr>
        <w:t> </w:t>
      </w:r>
      <w:r w:rsidRPr="000C7145">
        <w:rPr>
          <w:sz w:val="28"/>
          <w:szCs w:val="28"/>
        </w:rPr>
        <w:t xml:space="preserve">р. </w:t>
      </w:r>
      <w:r w:rsidRPr="003955E9">
        <w:rPr>
          <w:sz w:val="28"/>
          <w:szCs w:val="28"/>
        </w:rPr>
        <w:t xml:space="preserve">о </w:t>
      </w:r>
      <w:r>
        <w:rPr>
          <w:sz w:val="28"/>
          <w:szCs w:val="28"/>
        </w:rPr>
        <w:t>10</w:t>
      </w:r>
      <w:r w:rsidRPr="000C7145">
        <w:rPr>
          <w:sz w:val="28"/>
          <w:szCs w:val="28"/>
          <w:vertAlign w:val="superscript"/>
        </w:rPr>
        <w:t>.00</w:t>
      </w:r>
      <w:r w:rsidRPr="000C7145">
        <w:rPr>
          <w:sz w:val="28"/>
          <w:szCs w:val="28"/>
        </w:rPr>
        <w:t xml:space="preserve"> годині на засіданні </w:t>
      </w:r>
      <w:r>
        <w:rPr>
          <w:sz w:val="28"/>
          <w:szCs w:val="28"/>
        </w:rPr>
        <w:t xml:space="preserve">екзаменаційної комісії № 28 </w:t>
      </w:r>
      <w:r w:rsidRPr="000C7145">
        <w:rPr>
          <w:sz w:val="28"/>
          <w:szCs w:val="28"/>
        </w:rPr>
        <w:t>у Тернопільському національному технічному університеті імені Івана Пулюя за адресою:</w:t>
      </w:r>
      <w:r w:rsidRPr="000C7145">
        <w:rPr>
          <w:bCs/>
          <w:sz w:val="28"/>
          <w:szCs w:val="28"/>
        </w:rPr>
        <w:t xml:space="preserve">46001, м. Тернопіль, вул. </w:t>
      </w:r>
      <w:r>
        <w:rPr>
          <w:bCs/>
          <w:sz w:val="28"/>
          <w:szCs w:val="28"/>
        </w:rPr>
        <w:t>Руська</w:t>
      </w:r>
      <w:r w:rsidRPr="000C714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56,</w:t>
      </w:r>
      <w:r w:rsidRPr="000C7145">
        <w:rPr>
          <w:bCs/>
          <w:sz w:val="28"/>
          <w:szCs w:val="28"/>
        </w:rPr>
        <w:t xml:space="preserve"> навчальний корпус №</w:t>
      </w:r>
      <w:r>
        <w:rPr>
          <w:bCs/>
          <w:sz w:val="28"/>
          <w:szCs w:val="28"/>
        </w:rPr>
        <w:t xml:space="preserve"> 1</w:t>
      </w:r>
      <w:r w:rsidRPr="000C7145">
        <w:rPr>
          <w:bCs/>
          <w:sz w:val="28"/>
          <w:szCs w:val="28"/>
        </w:rPr>
        <w:t xml:space="preserve">, </w:t>
      </w:r>
      <w:proofErr w:type="spellStart"/>
      <w:r w:rsidRPr="000C7145">
        <w:rPr>
          <w:bCs/>
          <w:sz w:val="28"/>
          <w:szCs w:val="28"/>
        </w:rPr>
        <w:t>ауд</w:t>
      </w:r>
      <w:proofErr w:type="spellEnd"/>
      <w:r w:rsidRPr="000C714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806</w:t>
      </w:r>
    </w:p>
    <w:p w:rsidR="0007643A" w:rsidRPr="000C7145" w:rsidRDefault="0007643A" w:rsidP="007E4AF7">
      <w:pPr>
        <w:pStyle w:val="2"/>
        <w:ind w:firstLine="709"/>
        <w:rPr>
          <w:sz w:val="16"/>
          <w:szCs w:val="28"/>
        </w:rPr>
      </w:pPr>
    </w:p>
    <w:p w:rsidR="0007643A" w:rsidRPr="000C7145" w:rsidRDefault="0007643A" w:rsidP="007E4AF7">
      <w:pPr>
        <w:pStyle w:val="a3"/>
        <w:spacing w:line="240" w:lineRule="auto"/>
        <w:ind w:firstLine="0"/>
        <w:rPr>
          <w:b/>
        </w:rPr>
        <w:sectPr w:rsidR="0007643A" w:rsidRPr="000C7145" w:rsidSect="007C5E3D">
          <w:headerReference w:type="even" r:id="rId10"/>
          <w:headerReference w:type="default" r:id="rId11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:rsidR="0007643A" w:rsidRDefault="0007643A" w:rsidP="007E4AF7">
      <w:pPr>
        <w:pStyle w:val="a3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>ЗАГАЛЬНА ХАРАКТЕРИСТИКА РОБОТИ</w:t>
      </w:r>
    </w:p>
    <w:p w:rsidR="0007643A" w:rsidRDefault="0007643A" w:rsidP="00AF3580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rPr>
          <w:b/>
          <w:sz w:val="28"/>
          <w:szCs w:val="28"/>
        </w:rPr>
      </w:pPr>
    </w:p>
    <w:p w:rsidR="0007643A" w:rsidRDefault="0007643A" w:rsidP="00AF3580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D4052A">
        <w:rPr>
          <w:b/>
          <w:sz w:val="28"/>
          <w:szCs w:val="28"/>
        </w:rPr>
        <w:t>Актуальність теми роботи</w:t>
      </w:r>
      <w:r w:rsidRPr="00D4052A">
        <w:rPr>
          <w:sz w:val="28"/>
          <w:szCs w:val="28"/>
        </w:rPr>
        <w:t>.</w:t>
      </w:r>
      <w:r w:rsidRPr="00AF3580">
        <w:rPr>
          <w:b/>
          <w:sz w:val="28"/>
          <w:szCs w:val="28"/>
        </w:rPr>
        <w:t xml:space="preserve"> </w:t>
      </w:r>
      <w:r w:rsidRPr="00DC4D65">
        <w:rPr>
          <w:rFonts w:ascii="Times New Roman CYR" w:hAnsi="Times New Roman CYR" w:cs="Times New Roman CYR"/>
          <w:sz w:val="28"/>
          <w:szCs w:val="28"/>
        </w:rPr>
        <w:t>При розробці і побудові комплексної системи захисту інформації необхідно дотримуватися певних методологічних принципів проведення досліджень, проектування, виробництва, експлуатації. Системи захисту інформації відносяться до числа складних систем, і для їх побудови можуть використовуватися різні принципи побудови систем з урахуванням специфіки розв'язуваних ними завдань.</w:t>
      </w:r>
    </w:p>
    <w:p w:rsidR="0007643A" w:rsidRPr="00AF3580" w:rsidRDefault="0007643A" w:rsidP="00AF3580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rPr>
          <w:sz w:val="28"/>
          <w:szCs w:val="28"/>
        </w:rPr>
      </w:pPr>
      <w:r w:rsidRPr="00AF3580">
        <w:rPr>
          <w:sz w:val="28"/>
          <w:szCs w:val="28"/>
        </w:rPr>
        <w:t>В рамках викладеного актуальності набуває впровадження механізмів, засобів захисту інформації в автоматизованих системах без додаткового надання складності у використанні останніх, великого їхнього об’єму та значних фінансових затрат.</w:t>
      </w:r>
    </w:p>
    <w:p w:rsidR="0007643A" w:rsidRDefault="0007643A" w:rsidP="00AF358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Впровадження нових інформаційних технологій, збільшення номенклатури і якості послуг супроводжується збільшенням вимог щодо захисту інформації. В усьому світі з кожним роком все більше уваги приділяється інформаційній безпеці як крупних корпорацій так і державних організацій. На жаль керівники не завжди приділяють належну увагу заходам по забезпеченню захисту інформації, тому вони часто носять фрагментарний та явно недостатній характер. В Україні сьогодні питанням інформаційної безпеки приділяють особливу увагу. На теперішній час сформована належна законодавча база. Усе більшого значення набуває необхідність збереження цілісності та доступності відкритої інформації, забезпечення конфіденційності інформації з обмеженим доступом, ознайомлення, використання чи розголошення якої може завдати шкоди суспільству й державі, юридичним та фізичним особам. </w:t>
      </w:r>
      <w:r w:rsidRPr="00452156">
        <w:rPr>
          <w:sz w:val="28"/>
          <w:szCs w:val="28"/>
          <w:shd w:val="clear" w:color="auto" w:fill="FFFFFF"/>
        </w:rPr>
        <w:t>Отже</w:t>
      </w:r>
      <w:r w:rsidRPr="00452156">
        <w:rPr>
          <w:b/>
          <w:bCs/>
          <w:sz w:val="28"/>
          <w:szCs w:val="28"/>
          <w:shd w:val="clear" w:color="auto" w:fill="FFFFFF"/>
        </w:rPr>
        <w:t>,</w:t>
      </w:r>
      <w:r w:rsidRPr="00452156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452156">
        <w:rPr>
          <w:sz w:val="28"/>
          <w:szCs w:val="28"/>
          <w:shd w:val="clear" w:color="auto" w:fill="FFFFFF"/>
        </w:rPr>
        <w:t>в сучасних умовах безпека інформаційних ресурсів може бути забезпечена тільки комплексною системою захисту інформації</w:t>
      </w:r>
      <w:r>
        <w:rPr>
          <w:sz w:val="28"/>
          <w:szCs w:val="28"/>
          <w:shd w:val="clear" w:color="auto" w:fill="FFFFFF"/>
        </w:rPr>
        <w:t>.</w:t>
      </w:r>
    </w:p>
    <w:p w:rsidR="0007643A" w:rsidRPr="00D4052A" w:rsidRDefault="0007643A" w:rsidP="00AF3580">
      <w:pPr>
        <w:spacing w:line="360" w:lineRule="auto"/>
        <w:ind w:firstLine="709"/>
        <w:rPr>
          <w:sz w:val="28"/>
          <w:szCs w:val="28"/>
        </w:rPr>
      </w:pPr>
      <w:r w:rsidRPr="00D4052A">
        <w:rPr>
          <w:b/>
          <w:sz w:val="28"/>
          <w:szCs w:val="28"/>
        </w:rPr>
        <w:t>Мета роботи:</w:t>
      </w:r>
      <w:r>
        <w:rPr>
          <w:rFonts w:ascii="Times New Roman CYR" w:hAnsi="Times New Roman CYR" w:cs="Times New Roman CYR"/>
          <w:sz w:val="28"/>
          <w:szCs w:val="28"/>
        </w:rPr>
        <w:t xml:space="preserve"> удосконалення комплексної системи захисту інформації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Новопорічанської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сільської ради з урахуванням міжнародного досвіду.</w:t>
      </w:r>
    </w:p>
    <w:p w:rsidR="0007643A" w:rsidRPr="00384136" w:rsidRDefault="0007643A" w:rsidP="00D3737D">
      <w:pPr>
        <w:pStyle w:val="a3"/>
      </w:pPr>
      <w:r>
        <w:rPr>
          <w:b/>
        </w:rPr>
        <w:t xml:space="preserve">Об’єкт, методи та джерела дослідження. </w:t>
      </w:r>
      <w:r w:rsidRPr="00D3737D">
        <w:t>Об</w:t>
      </w:r>
      <w:r w:rsidRPr="00D3737D">
        <w:rPr>
          <w:spacing w:val="-4"/>
        </w:rPr>
        <w:t>’</w:t>
      </w:r>
      <w:r>
        <w:rPr>
          <w:spacing w:val="-4"/>
        </w:rPr>
        <w:t xml:space="preserve">єктом дослідження є суспільні відносини в сфері захисту інформації в інформаційно-телекомунікаційних системах </w:t>
      </w:r>
      <w:r>
        <w:rPr>
          <w:spacing w:val="-4"/>
        </w:rPr>
        <w:tab/>
        <w:t xml:space="preserve">Основними з методів дослідження є метод порівняння, структурний та метод </w:t>
      </w:r>
      <w:r>
        <w:rPr>
          <w:spacing w:val="-4"/>
        </w:rPr>
        <w:lastRenderedPageBreak/>
        <w:t xml:space="preserve">аналізу.  Опрацьовано </w:t>
      </w:r>
      <w:r w:rsidR="009653DB">
        <w:rPr>
          <w:spacing w:val="-4"/>
        </w:rPr>
        <w:t>33</w:t>
      </w:r>
      <w:r>
        <w:rPr>
          <w:spacing w:val="-4"/>
        </w:rPr>
        <w:t xml:space="preserve"> джерел, до яких входять результати вітчизняних та закордонних досліджень. </w:t>
      </w:r>
    </w:p>
    <w:p w:rsidR="0007643A" w:rsidRDefault="0007643A" w:rsidP="00AF3580">
      <w:pPr>
        <w:spacing w:line="360" w:lineRule="auto"/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Науков</w:t>
      </w:r>
      <w:r>
        <w:rPr>
          <w:b/>
          <w:sz w:val="28"/>
          <w:szCs w:val="28"/>
        </w:rPr>
        <w:t xml:space="preserve">а новизна отриманих результатів: </w:t>
      </w:r>
    </w:p>
    <w:p w:rsidR="0007643A" w:rsidRPr="0095536D" w:rsidRDefault="0007643A" w:rsidP="007D1BFF">
      <w:pPr>
        <w:pStyle w:val="a9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536D">
        <w:rPr>
          <w:sz w:val="28"/>
          <w:szCs w:val="28"/>
        </w:rPr>
        <w:t>проаналізовано нормативно-правову базу та сучасні підходи в галузі проектування комплексних систем захисту інформації;</w:t>
      </w:r>
    </w:p>
    <w:p w:rsidR="0007643A" w:rsidRPr="0095536D" w:rsidRDefault="0007643A" w:rsidP="007D1BFF">
      <w:pPr>
        <w:pStyle w:val="a9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2) розроблено</w:t>
      </w:r>
      <w:r w:rsidRPr="0095536D">
        <w:rPr>
          <w:sz w:val="28"/>
          <w:szCs w:val="28"/>
        </w:rPr>
        <w:t xml:space="preserve"> рекомендації щодо вдосконалення КСЗІ на основі досвіду </w:t>
      </w:r>
      <w:r>
        <w:rPr>
          <w:sz w:val="28"/>
          <w:szCs w:val="28"/>
        </w:rPr>
        <w:t>міжнародного досвіду;</w:t>
      </w:r>
    </w:p>
    <w:p w:rsidR="0007643A" w:rsidRPr="0095536D" w:rsidRDefault="0007643A" w:rsidP="007D1BFF">
      <w:pPr>
        <w:pStyle w:val="a9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5536D">
        <w:rPr>
          <w:sz w:val="28"/>
          <w:szCs w:val="28"/>
        </w:rPr>
        <w:t>виконано техніко-економічне обґрунтування прийнятих рішень;</w:t>
      </w:r>
    </w:p>
    <w:p w:rsidR="0007643A" w:rsidRPr="0095536D" w:rsidRDefault="0007643A" w:rsidP="007D1BFF">
      <w:pPr>
        <w:pStyle w:val="a9"/>
        <w:spacing w:line="360" w:lineRule="auto"/>
        <w:ind w:firstLine="540"/>
        <w:rPr>
          <w:sz w:val="28"/>
          <w:szCs w:val="28"/>
        </w:rPr>
      </w:pPr>
      <w:r w:rsidRPr="0095536D">
        <w:rPr>
          <w:sz w:val="28"/>
          <w:szCs w:val="28"/>
        </w:rPr>
        <w:t>розглянуто питання застосування інформаційних технологій, охорони праці, безпеки в надзвичайних ситуаціях те екології;</w:t>
      </w:r>
    </w:p>
    <w:p w:rsidR="0007643A" w:rsidRDefault="0007643A" w:rsidP="00AF3580">
      <w:pPr>
        <w:spacing w:line="360" w:lineRule="auto"/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Практичне значення отриманих результатів.</w:t>
      </w:r>
    </w:p>
    <w:p w:rsidR="0007643A" w:rsidRPr="00F657EA" w:rsidRDefault="0007643A" w:rsidP="00AF35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Удосконалено комплексну систему захисту інформації в автоматизованій системі класу «1» на основі міжнародних стандартів.</w:t>
      </w:r>
    </w:p>
    <w:p w:rsidR="0007643A" w:rsidRPr="000C7145" w:rsidRDefault="0007643A" w:rsidP="00AF3580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0C7145">
        <w:rPr>
          <w:b/>
          <w:sz w:val="28"/>
          <w:szCs w:val="28"/>
        </w:rPr>
        <w:t>Апробація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Окремі результати роботи доповідались на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науково-технічній конференції, Тернопіль «Інформаційні моделі, системи та технології »</w:t>
      </w:r>
      <w:r w:rsidRPr="006A3D08">
        <w:rPr>
          <w:sz w:val="28"/>
          <w:szCs w:val="28"/>
        </w:rPr>
        <w:t xml:space="preserve"> ТНТУ, </w:t>
      </w:r>
      <w:r>
        <w:rPr>
          <w:sz w:val="28"/>
          <w:szCs w:val="28"/>
        </w:rPr>
        <w:t>12 – 13 грудня</w:t>
      </w:r>
      <w:r w:rsidRPr="006A3D08">
        <w:rPr>
          <w:sz w:val="28"/>
          <w:szCs w:val="28"/>
        </w:rPr>
        <w:t>201</w:t>
      </w:r>
      <w:r>
        <w:rPr>
          <w:sz w:val="28"/>
          <w:szCs w:val="28"/>
        </w:rPr>
        <w:t>8 р.</w:t>
      </w:r>
    </w:p>
    <w:p w:rsidR="0007643A" w:rsidRPr="00792596" w:rsidRDefault="0007643A" w:rsidP="00AF3580">
      <w:pPr>
        <w:pStyle w:val="a3"/>
        <w:tabs>
          <w:tab w:val="left" w:pos="6474"/>
        </w:tabs>
      </w:pPr>
      <w:r w:rsidRPr="000C7145">
        <w:rPr>
          <w:b/>
        </w:rPr>
        <w:t xml:space="preserve">Структура </w:t>
      </w:r>
      <w:r w:rsidRPr="00384136">
        <w:rPr>
          <w:b/>
        </w:rPr>
        <w:t>роботи</w:t>
      </w:r>
      <w:r>
        <w:rPr>
          <w:b/>
        </w:rPr>
        <w:t xml:space="preserve">. </w:t>
      </w:r>
      <w:r>
        <w:t xml:space="preserve">Робота складається з розрахунково-пояснювальної записки та графічної частини. Розрахунково-пояснювальна записка складається з вступу, 7 частин, висновків, переліку посилань та додатків. Обсяг роботи: розрахунково-пояснювальна записка – </w:t>
      </w:r>
      <w:bookmarkStart w:id="0" w:name="_GoBack"/>
      <w:r w:rsidRPr="003D7C53">
        <w:rPr>
          <w:lang w:val="ru-RU"/>
        </w:rPr>
        <w:t>104</w:t>
      </w:r>
      <w:bookmarkEnd w:id="0"/>
      <w:r>
        <w:t xml:space="preserve"> </w:t>
      </w:r>
      <w:proofErr w:type="spellStart"/>
      <w:r>
        <w:t>арк</w:t>
      </w:r>
      <w:proofErr w:type="spellEnd"/>
      <w:r>
        <w:t>. формату А4, графічна частина – 7 аркушів формату А4</w:t>
      </w:r>
    </w:p>
    <w:p w:rsidR="0007643A" w:rsidRPr="000C7145" w:rsidRDefault="0007643A" w:rsidP="00AF3580">
      <w:pPr>
        <w:pStyle w:val="a3"/>
        <w:tabs>
          <w:tab w:val="left" w:pos="6474"/>
        </w:tabs>
        <w:jc w:val="center"/>
        <w:rPr>
          <w:b/>
        </w:rPr>
      </w:pPr>
    </w:p>
    <w:p w:rsidR="0007643A" w:rsidRDefault="0007643A" w:rsidP="00AF3580">
      <w:pPr>
        <w:pStyle w:val="a3"/>
        <w:tabs>
          <w:tab w:val="left" w:pos="6474"/>
        </w:tabs>
        <w:jc w:val="center"/>
        <w:rPr>
          <w:b/>
        </w:rPr>
      </w:pPr>
      <w:r w:rsidRPr="000C7145">
        <w:rPr>
          <w:b/>
        </w:rPr>
        <w:t>ОСНОВНИЙ ЗМІСТ РОБОТИ</w:t>
      </w:r>
    </w:p>
    <w:p w:rsidR="0007643A" w:rsidRPr="000C7145" w:rsidRDefault="0007643A" w:rsidP="00AF3580">
      <w:pPr>
        <w:pStyle w:val="a3"/>
        <w:tabs>
          <w:tab w:val="left" w:pos="6474"/>
        </w:tabs>
        <w:jc w:val="center"/>
        <w:rPr>
          <w:b/>
        </w:rPr>
      </w:pPr>
    </w:p>
    <w:p w:rsidR="0007643A" w:rsidRDefault="0007643A" w:rsidP="00AF3580">
      <w:pPr>
        <w:pStyle w:val="a3"/>
        <w:tabs>
          <w:tab w:val="left" w:pos="6474"/>
        </w:tabs>
      </w:pPr>
      <w:r w:rsidRPr="000C7145">
        <w:rPr>
          <w:b/>
        </w:rPr>
        <w:t xml:space="preserve">У вступі </w:t>
      </w:r>
      <w:r>
        <w:t>викладено положення щодо актуальності досліджуваної теми, зокрема актуальності захисту інформації в автоматизованих системах.</w:t>
      </w:r>
    </w:p>
    <w:p w:rsidR="0007643A" w:rsidRDefault="0007643A" w:rsidP="00AF3580">
      <w:pPr>
        <w:pStyle w:val="a3"/>
        <w:tabs>
          <w:tab w:val="left" w:pos="6474"/>
        </w:tabs>
      </w:pPr>
      <w:r>
        <w:rPr>
          <w:b/>
        </w:rPr>
        <w:t>В аналітичній частині</w:t>
      </w:r>
      <w:r>
        <w:t xml:space="preserve"> проведено аналіз стану захисту інформації в сучасних умовах, виконано постановку задачі для дипломної роботи.</w:t>
      </w:r>
    </w:p>
    <w:p w:rsidR="0007643A" w:rsidRPr="001E4DBC" w:rsidRDefault="0007643A" w:rsidP="00AF3580">
      <w:pPr>
        <w:pStyle w:val="a3"/>
        <w:tabs>
          <w:tab w:val="left" w:pos="6474"/>
        </w:tabs>
      </w:pPr>
      <w:r>
        <w:rPr>
          <w:b/>
        </w:rPr>
        <w:t xml:space="preserve">В науково-дослідній частині </w:t>
      </w:r>
      <w:r>
        <w:t>виконано дослідження ударної хвилі на організм людини і компоненти КСЗІ.</w:t>
      </w:r>
    </w:p>
    <w:p w:rsidR="0007643A" w:rsidRDefault="0007643A" w:rsidP="00AF3580">
      <w:pPr>
        <w:pStyle w:val="a3"/>
        <w:tabs>
          <w:tab w:val="left" w:pos="6474"/>
        </w:tabs>
      </w:pPr>
      <w:r w:rsidRPr="001E4DBC">
        <w:rPr>
          <w:b/>
        </w:rPr>
        <w:lastRenderedPageBreak/>
        <w:t>В технологічній частині</w:t>
      </w:r>
      <w:r>
        <w:t xml:space="preserve"> приведено характеристику об’єкта, структури сільської ради, розташування приміщень.</w:t>
      </w:r>
    </w:p>
    <w:p w:rsidR="0007643A" w:rsidRDefault="0007643A" w:rsidP="00AF3580">
      <w:pPr>
        <w:pStyle w:val="a3"/>
        <w:tabs>
          <w:tab w:val="left" w:pos="6474"/>
        </w:tabs>
      </w:pPr>
      <w:r w:rsidRPr="001E4DBC">
        <w:rPr>
          <w:b/>
        </w:rPr>
        <w:t>В конструкторській частині</w:t>
      </w:r>
      <w:r>
        <w:t xml:space="preserve"> виконана розробка політики безпеки підприємства</w:t>
      </w:r>
      <w:r>
        <w:rPr>
          <w:rFonts w:ascii="Times New Roman CYR" w:hAnsi="Times New Roman CYR" w:cs="Times New Roman CYR"/>
        </w:rPr>
        <w:t>.</w:t>
      </w:r>
    </w:p>
    <w:p w:rsidR="0007643A" w:rsidRPr="00286A19" w:rsidRDefault="0007643A" w:rsidP="00AF3580">
      <w:pPr>
        <w:pStyle w:val="a3"/>
        <w:tabs>
          <w:tab w:val="left" w:pos="6474"/>
        </w:tabs>
      </w:pPr>
      <w:r w:rsidRPr="00286A19">
        <w:rPr>
          <w:b/>
        </w:rPr>
        <w:t>В спеціальній частині</w:t>
      </w:r>
      <w:r>
        <w:rPr>
          <w:b/>
        </w:rPr>
        <w:t xml:space="preserve"> </w:t>
      </w:r>
      <w:r>
        <w:t>розроблені рекомендації що удосконалення КСЗІ з використанням міжнародного досвіду</w:t>
      </w:r>
      <w:r w:rsidRPr="00286A19">
        <w:t>.</w:t>
      </w:r>
    </w:p>
    <w:p w:rsidR="0007643A" w:rsidRPr="00286A19" w:rsidRDefault="0007643A" w:rsidP="00AF358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286A19">
        <w:rPr>
          <w:b/>
          <w:sz w:val="28"/>
          <w:szCs w:val="28"/>
        </w:rPr>
        <w:t>В проектній частині</w:t>
      </w:r>
      <w:r w:rsidRPr="00286A19">
        <w:rPr>
          <w:sz w:val="28"/>
          <w:szCs w:val="28"/>
        </w:rPr>
        <w:t xml:space="preserve"> проведено проектування комплексної системи захисту інформації автоматизованої системи класу «</w:t>
      </w:r>
      <w:r>
        <w:rPr>
          <w:sz w:val="28"/>
          <w:szCs w:val="28"/>
        </w:rPr>
        <w:t>1</w:t>
      </w:r>
      <w:r w:rsidRPr="00286A19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Новопорічанської</w:t>
      </w:r>
      <w:proofErr w:type="spellEnd"/>
      <w:r>
        <w:rPr>
          <w:sz w:val="28"/>
          <w:szCs w:val="28"/>
        </w:rPr>
        <w:t xml:space="preserve"> сільської ради. Запропоновано нові підходи для захисту АС, а також</w:t>
      </w:r>
      <w:r w:rsidRPr="00286A19">
        <w:rPr>
          <w:sz w:val="28"/>
          <w:szCs w:val="28"/>
        </w:rPr>
        <w:t xml:space="preserve"> </w:t>
      </w:r>
      <w:r>
        <w:rPr>
          <w:sz w:val="28"/>
          <w:szCs w:val="28"/>
        </w:rPr>
        <w:t>здійснено аналіз системи захисту. Розроблено</w:t>
      </w:r>
      <w:r w:rsidRPr="00286A19">
        <w:rPr>
          <w:sz w:val="28"/>
          <w:szCs w:val="28"/>
        </w:rPr>
        <w:t xml:space="preserve"> рекомендації </w:t>
      </w:r>
      <w:r>
        <w:rPr>
          <w:sz w:val="28"/>
          <w:szCs w:val="28"/>
        </w:rPr>
        <w:t>вдосконалення системи захисту інформації на основі міжнародних стандартів</w:t>
      </w:r>
      <w:r w:rsidRPr="00286A19">
        <w:rPr>
          <w:sz w:val="28"/>
          <w:szCs w:val="28"/>
        </w:rPr>
        <w:t>.</w:t>
      </w:r>
    </w:p>
    <w:p w:rsidR="0007643A" w:rsidRPr="001E4DBC" w:rsidRDefault="0007643A" w:rsidP="00AF3580">
      <w:pPr>
        <w:widowControl w:val="0"/>
        <w:autoSpaceDE w:val="0"/>
        <w:autoSpaceDN w:val="0"/>
        <w:adjustRightInd w:val="0"/>
        <w:spacing w:line="360" w:lineRule="auto"/>
        <w:ind w:firstLine="851"/>
        <w:rPr>
          <w:b/>
        </w:rPr>
      </w:pPr>
      <w:r w:rsidRPr="00286A19">
        <w:rPr>
          <w:b/>
          <w:sz w:val="28"/>
          <w:szCs w:val="28"/>
        </w:rPr>
        <w:t xml:space="preserve">В частині «Обґрунтування економічної ефективності» </w:t>
      </w:r>
      <w:r w:rsidRPr="00DC4D65">
        <w:rPr>
          <w:rFonts w:ascii="Times New Roman CYR" w:hAnsi="Times New Roman CYR" w:cs="Times New Roman CYR"/>
          <w:sz w:val="28"/>
          <w:szCs w:val="28"/>
        </w:rPr>
        <w:t xml:space="preserve">наводиться розрахунок сумарних витрат на комплексну 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систему </w:t>
      </w:r>
      <w:r w:rsidRPr="00DC4D65">
        <w:rPr>
          <w:rFonts w:ascii="Times New Roman CYR" w:hAnsi="Times New Roman CYR" w:cs="Times New Roman CYR"/>
          <w:sz w:val="28"/>
          <w:szCs w:val="28"/>
        </w:rPr>
        <w:t>захист</w:t>
      </w:r>
      <w:r>
        <w:rPr>
          <w:rFonts w:ascii="Times New Roman CYR" w:hAnsi="Times New Roman CYR" w:cs="Times New Roman CYR"/>
          <w:sz w:val="28"/>
          <w:szCs w:val="28"/>
        </w:rPr>
        <w:t>у інформації</w:t>
      </w:r>
      <w:r w:rsidRPr="00DC4D65">
        <w:rPr>
          <w:rFonts w:ascii="Times New Roman CYR" w:hAnsi="Times New Roman CYR" w:cs="Times New Roman CYR"/>
          <w:sz w:val="28"/>
          <w:szCs w:val="28"/>
        </w:rPr>
        <w:t xml:space="preserve"> об'єкта і обґрунтування економічної доцільності </w:t>
      </w:r>
      <w:r>
        <w:rPr>
          <w:rFonts w:ascii="Times New Roman CYR" w:hAnsi="Times New Roman CYR" w:cs="Times New Roman CYR"/>
          <w:sz w:val="28"/>
          <w:szCs w:val="28"/>
        </w:rPr>
        <w:t>вдосконалення</w:t>
      </w:r>
      <w:r w:rsidRPr="00DC4D65">
        <w:rPr>
          <w:rFonts w:ascii="Times New Roman CYR" w:hAnsi="Times New Roman CYR" w:cs="Times New Roman CYR"/>
          <w:sz w:val="28"/>
          <w:szCs w:val="28"/>
        </w:rPr>
        <w:t xml:space="preserve"> КСЗІ.</w:t>
      </w:r>
    </w:p>
    <w:p w:rsidR="0007643A" w:rsidRDefault="0007643A" w:rsidP="00AF3580">
      <w:pPr>
        <w:pStyle w:val="a3"/>
        <w:tabs>
          <w:tab w:val="left" w:pos="6474"/>
        </w:tabs>
      </w:pPr>
      <w:r w:rsidRPr="001E4DBC">
        <w:rPr>
          <w:b/>
        </w:rPr>
        <w:t>В частині</w:t>
      </w:r>
      <w:r>
        <w:t xml:space="preserve"> «</w:t>
      </w:r>
      <w:r w:rsidRPr="003727F7">
        <w:rPr>
          <w:b/>
        </w:rPr>
        <w:t>Охорона праці та безпека в надзвичайних ситуаціях</w:t>
      </w:r>
      <w:r>
        <w:rPr>
          <w:b/>
        </w:rPr>
        <w:t xml:space="preserve">» </w:t>
      </w:r>
      <w:r>
        <w:t xml:space="preserve">розглянуто </w:t>
      </w:r>
      <w:r w:rsidRPr="00DC4D65">
        <w:rPr>
          <w:rFonts w:ascii="Times New Roman CYR" w:hAnsi="Times New Roman CYR" w:cs="Times New Roman CYR"/>
        </w:rPr>
        <w:t>розглянуті фактори робочого середовища, що роблять вплив на здоров'я і працездатність людини в процесі праці</w:t>
      </w:r>
      <w:r>
        <w:t>.</w:t>
      </w:r>
    </w:p>
    <w:p w:rsidR="0007643A" w:rsidRDefault="0007643A" w:rsidP="00AF3580">
      <w:pPr>
        <w:pStyle w:val="a3"/>
        <w:tabs>
          <w:tab w:val="left" w:pos="6474"/>
        </w:tabs>
      </w:pPr>
      <w:r>
        <w:rPr>
          <w:b/>
        </w:rPr>
        <w:t xml:space="preserve">В частині «Екологія» </w:t>
      </w:r>
      <w:r>
        <w:t>проаналізовано с</w:t>
      </w:r>
      <w:r w:rsidRPr="001E4DBC">
        <w:t>учасний екологічний стан України</w:t>
      </w:r>
      <w:r>
        <w:t>, розглянуто питання з</w:t>
      </w:r>
      <w:r w:rsidRPr="001E4DBC">
        <w:t>абруднення довкілля, що виникає внаслідок реалізації технологічного процесу</w:t>
      </w:r>
      <w:r>
        <w:t>, а також запропоновано з</w:t>
      </w:r>
      <w:r w:rsidRPr="001E4DBC">
        <w:t>аходи зі зменшення забруднення довкілля</w:t>
      </w:r>
      <w:r>
        <w:t>.</w:t>
      </w:r>
    </w:p>
    <w:p w:rsidR="0007643A" w:rsidRDefault="0007643A" w:rsidP="00AF3580">
      <w:pPr>
        <w:pStyle w:val="a3"/>
        <w:tabs>
          <w:tab w:val="left" w:pos="6474"/>
        </w:tabs>
      </w:pPr>
      <w:r>
        <w:rPr>
          <w:b/>
        </w:rPr>
        <w:t xml:space="preserve">У загальних висновках щодо дипломної роботи </w:t>
      </w:r>
      <w:r w:rsidRPr="00DC4D65">
        <w:rPr>
          <w:rFonts w:ascii="Times New Roman CYR" w:hAnsi="Times New Roman CYR" w:cs="Times New Roman CYR"/>
        </w:rPr>
        <w:t xml:space="preserve">сформульовані загальні висновки щодо </w:t>
      </w:r>
      <w:r>
        <w:rPr>
          <w:rFonts w:ascii="Times New Roman CYR" w:hAnsi="Times New Roman CYR" w:cs="Times New Roman CYR"/>
        </w:rPr>
        <w:t xml:space="preserve">вдосконалення </w:t>
      </w:r>
      <w:r w:rsidRPr="00DC4D65">
        <w:rPr>
          <w:rFonts w:ascii="Times New Roman CYR" w:hAnsi="Times New Roman CYR" w:cs="Times New Roman CYR"/>
        </w:rPr>
        <w:t>комплексної системи захисту</w:t>
      </w:r>
      <w:r>
        <w:rPr>
          <w:rFonts w:ascii="Times New Roman CYR" w:hAnsi="Times New Roman CYR" w:cs="Times New Roman CYR"/>
        </w:rPr>
        <w:t xml:space="preserve"> інформації</w:t>
      </w:r>
      <w:r>
        <w:t>.</w:t>
      </w:r>
    </w:p>
    <w:p w:rsidR="0007643A" w:rsidRDefault="0007643A" w:rsidP="00AF3580">
      <w:pPr>
        <w:pStyle w:val="a3"/>
        <w:tabs>
          <w:tab w:val="left" w:pos="6474"/>
        </w:tabs>
      </w:pPr>
      <w:r>
        <w:t>В додатках до пояснювальної записки наведено функціональні профілі захисту.</w:t>
      </w:r>
    </w:p>
    <w:p w:rsidR="0007643A" w:rsidRDefault="0007643A" w:rsidP="00AF3580">
      <w:pPr>
        <w:pStyle w:val="a3"/>
        <w:tabs>
          <w:tab w:val="left" w:pos="6474"/>
        </w:tabs>
      </w:pPr>
      <w:r>
        <w:t>В графічній частині наведено презентаційний  матеріал з поясненням на удосконалення комплексної системи захисту інформації.</w:t>
      </w:r>
    </w:p>
    <w:p w:rsidR="0007643A" w:rsidRPr="007D1BFF" w:rsidRDefault="0007643A" w:rsidP="007D1BFF">
      <w:pPr>
        <w:pStyle w:val="a3"/>
        <w:tabs>
          <w:tab w:val="left" w:pos="6474"/>
        </w:tabs>
        <w:jc w:val="center"/>
        <w:rPr>
          <w:b/>
        </w:rPr>
      </w:pPr>
      <w:r w:rsidRPr="007D1BFF">
        <w:rPr>
          <w:b/>
        </w:rPr>
        <w:t>ВИСНОВКИ</w:t>
      </w:r>
    </w:p>
    <w:p w:rsidR="0007643A" w:rsidRPr="00614939" w:rsidRDefault="0007643A" w:rsidP="00006523">
      <w:pPr>
        <w:pStyle w:val="a3"/>
        <w:tabs>
          <w:tab w:val="left" w:pos="6474"/>
        </w:tabs>
      </w:pPr>
      <w:r w:rsidRPr="007D1BFF">
        <w:t>Міжнародний та вітчизняний досвід</w:t>
      </w:r>
      <w:r w:rsidRPr="00614939">
        <w:t xml:space="preserve"> </w:t>
      </w:r>
      <w:r>
        <w:t xml:space="preserve">установ та </w:t>
      </w:r>
      <w:r w:rsidRPr="00614939">
        <w:t>організацій</w:t>
      </w:r>
      <w:r>
        <w:t xml:space="preserve">, які </w:t>
      </w:r>
      <w:r w:rsidRPr="00614939">
        <w:t xml:space="preserve"> </w:t>
      </w:r>
      <w:r>
        <w:t>здійснюють захист</w:t>
      </w:r>
      <w:r w:rsidRPr="00614939">
        <w:t xml:space="preserve"> інформації показує, що для досягнення вдалих рішень щодо захисту інформації необхідно поєднання </w:t>
      </w:r>
      <w:r>
        <w:t xml:space="preserve">в комплексі </w:t>
      </w:r>
      <w:r w:rsidRPr="00614939">
        <w:t xml:space="preserve">правових, організаційних і технічних </w:t>
      </w:r>
      <w:r w:rsidRPr="00614939">
        <w:lastRenderedPageBreak/>
        <w:t xml:space="preserve">заходів. Це поєднання визначається </w:t>
      </w:r>
      <w:r>
        <w:t>такими складовими властивостями інформації з погляду її захисту як цілісність, конфіденційність та доступність</w:t>
      </w:r>
      <w:r w:rsidRPr="00614939">
        <w:t xml:space="preserve">. </w:t>
      </w:r>
      <w:r>
        <w:t>Результатом такого поєднання стає комплексна система захисту інформації. Метою комплексної системи захисту інформації є забезпечення захисту інформаційних ресурсів на підприємстві, установі, організації, де її встановлено.</w:t>
      </w:r>
    </w:p>
    <w:p w:rsidR="0007643A" w:rsidRDefault="0007643A" w:rsidP="00AF35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 результатами дослідження  історії розвитку захисту інформації в Україні з</w:t>
      </w:r>
      <w:r w:rsidRPr="007D1BF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ясувалося, що нормативно-правова база у сфері захисту інформації, є морально застарілою. Хоча мають місце позитивні тенденції щодо внесення змін та доповнень до нормативних документів з питань технічного захисту інформації, а також запровадження міжнародних стандартів.</w:t>
      </w:r>
    </w:p>
    <w:p w:rsidR="0007643A" w:rsidRPr="001C564F" w:rsidRDefault="0007643A" w:rsidP="00AF35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Враховуючи комплексний підхід до запровадження заходів та засобів захисту інформації в автоматизованих системах опрацьовано основні методи дослідження КСЗІ. Як з</w:t>
      </w:r>
      <w:r w:rsidRPr="001C564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ясувалося такі методи можуть бути достатніми тільки у комплексній взаємодії.</w:t>
      </w:r>
    </w:p>
    <w:p w:rsidR="0007643A" w:rsidRDefault="0007643A" w:rsidP="00AF358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Під час огляду структури КСЗІ здійснено аналіз етапів побудови таких систем. Розроблено загальні положення по створенню КСЗІ. Охарактеризовано основні поняття, які входять до структури КСЗІ.</w:t>
      </w:r>
    </w:p>
    <w:p w:rsidR="0007643A" w:rsidRPr="001C564F" w:rsidRDefault="0007643A" w:rsidP="001C564F">
      <w:pPr>
        <w:spacing w:line="360" w:lineRule="auto"/>
        <w:ind w:firstLine="851"/>
        <w:rPr>
          <w:sz w:val="28"/>
          <w:szCs w:val="28"/>
          <w:lang w:eastAsia="en-US"/>
        </w:rPr>
      </w:pPr>
      <w:r w:rsidRPr="001C564F">
        <w:rPr>
          <w:sz w:val="28"/>
          <w:szCs w:val="28"/>
        </w:rPr>
        <w:t xml:space="preserve">Відповідно до отриманих результатів було розроблено КСЗІ у відповідності до вимог державних стандартів та нормативних документів з питань технічного  захисту інформації. Для вирішення проблем захисту інформації в </w:t>
      </w:r>
      <w:proofErr w:type="spellStart"/>
      <w:r w:rsidRPr="001C564F">
        <w:rPr>
          <w:sz w:val="28"/>
          <w:szCs w:val="28"/>
        </w:rPr>
        <w:t>Новопорічанській</w:t>
      </w:r>
      <w:proofErr w:type="spellEnd"/>
      <w:r w:rsidRPr="001C564F">
        <w:rPr>
          <w:sz w:val="28"/>
          <w:szCs w:val="28"/>
        </w:rPr>
        <w:t xml:space="preserve"> сільській раді та у з в’язку з модернізацією КСЗІ були запропоновані рекомендації по захисту. Дані рекомендації базуються на основі міжнародних стандартів, зокрема досвіду захисту конфіденційної інформації провідних університетів США. Успішно реалізовані такі політики із захисту інформації як п</w:t>
      </w:r>
      <w:r w:rsidRPr="001C564F">
        <w:rPr>
          <w:noProof/>
          <w:sz w:val="28"/>
          <w:szCs w:val="28"/>
        </w:rPr>
        <w:t xml:space="preserve">олітика мережа громадянства, </w:t>
      </w:r>
      <w:r>
        <w:rPr>
          <w:noProof/>
          <w:sz w:val="28"/>
          <w:szCs w:val="28"/>
        </w:rPr>
        <w:t>п</w:t>
      </w:r>
      <w:r w:rsidRPr="001C564F">
        <w:rPr>
          <w:noProof/>
          <w:sz w:val="28"/>
          <w:szCs w:val="28"/>
        </w:rPr>
        <w:t xml:space="preserve">олітика повітряного простору, </w:t>
      </w:r>
      <w:r>
        <w:rPr>
          <w:sz w:val="28"/>
          <w:szCs w:val="28"/>
        </w:rPr>
        <w:t>б</w:t>
      </w:r>
      <w:r w:rsidRPr="001C564F">
        <w:rPr>
          <w:sz w:val="28"/>
          <w:szCs w:val="28"/>
        </w:rPr>
        <w:t>іометричний захист.</w:t>
      </w:r>
    </w:p>
    <w:p w:rsidR="0007643A" w:rsidRDefault="0007643A" w:rsidP="00AF3580">
      <w:pPr>
        <w:spacing w:line="360" w:lineRule="auto"/>
        <w:ind w:firstLine="0"/>
        <w:rPr>
          <w:b/>
          <w:sz w:val="28"/>
          <w:szCs w:val="28"/>
        </w:rPr>
      </w:pPr>
    </w:p>
    <w:p w:rsidR="0007643A" w:rsidRPr="000C7145" w:rsidRDefault="0007643A" w:rsidP="001C564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 xml:space="preserve">СПИСОК ОПУБЛІКОВАНИХ АВТОРОМ ПРАЦЬ ЗА ТЕМОЮ </w:t>
      </w:r>
      <w:r>
        <w:rPr>
          <w:b/>
          <w:sz w:val="28"/>
          <w:szCs w:val="28"/>
        </w:rPr>
        <w:t>РОБОТИ</w:t>
      </w:r>
    </w:p>
    <w:p w:rsidR="0007643A" w:rsidRDefault="0007643A" w:rsidP="00AF3580">
      <w:pPr>
        <w:numPr>
          <w:ilvl w:val="0"/>
          <w:numId w:val="3"/>
        </w:num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Гуменний А.О. Вдосконалення комплексної системи захисту інформації </w:t>
      </w:r>
      <w:proofErr w:type="spellStart"/>
      <w:r>
        <w:rPr>
          <w:sz w:val="28"/>
          <w:szCs w:val="28"/>
        </w:rPr>
        <w:t>Новопорічанської</w:t>
      </w:r>
      <w:proofErr w:type="spellEnd"/>
      <w:r>
        <w:rPr>
          <w:sz w:val="28"/>
          <w:szCs w:val="28"/>
        </w:rPr>
        <w:t xml:space="preserve"> сільської ради з урахуванням міжнародного досвіду</w:t>
      </w:r>
      <w:r w:rsidRPr="006A3D08">
        <w:rPr>
          <w:sz w:val="28"/>
          <w:szCs w:val="28"/>
        </w:rPr>
        <w:t xml:space="preserve"> [Текст] / </w:t>
      </w:r>
      <w:r>
        <w:rPr>
          <w:sz w:val="28"/>
          <w:szCs w:val="28"/>
        </w:rPr>
        <w:lastRenderedPageBreak/>
        <w:t>Клим Р.Ю.</w:t>
      </w:r>
      <w:r w:rsidRPr="006A3D08">
        <w:rPr>
          <w:sz w:val="28"/>
          <w:szCs w:val="28"/>
        </w:rPr>
        <w:t xml:space="preserve"> Тези доповіді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науково-технічній конференції, Тернопіль «Інформаційні моделі, системи та технології »</w:t>
      </w:r>
      <w:r w:rsidRPr="006A3D08">
        <w:rPr>
          <w:sz w:val="28"/>
          <w:szCs w:val="28"/>
        </w:rPr>
        <w:t xml:space="preserve"> ТНТУ</w:t>
      </w:r>
      <w:r>
        <w:rPr>
          <w:sz w:val="28"/>
          <w:szCs w:val="28"/>
        </w:rPr>
        <w:t>,</w:t>
      </w:r>
      <w:r w:rsidRPr="006A3D0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A3D08">
        <w:rPr>
          <w:sz w:val="28"/>
          <w:szCs w:val="28"/>
        </w:rPr>
        <w:t xml:space="preserve">. – с. </w:t>
      </w:r>
      <w:r>
        <w:rPr>
          <w:sz w:val="28"/>
          <w:szCs w:val="28"/>
        </w:rPr>
        <w:t>19</w:t>
      </w:r>
      <w:r w:rsidRPr="006A3D08">
        <w:rPr>
          <w:sz w:val="28"/>
          <w:szCs w:val="28"/>
        </w:rPr>
        <w:t>.</w:t>
      </w:r>
    </w:p>
    <w:p w:rsidR="0007643A" w:rsidRDefault="0007643A" w:rsidP="00AF3580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07643A" w:rsidRPr="000C7145" w:rsidRDefault="0007643A" w:rsidP="00AF358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АНОТАЦІЯ</w:t>
      </w:r>
    </w:p>
    <w:p w:rsidR="0007643A" w:rsidRDefault="0007643A" w:rsidP="00AF3580">
      <w:pPr>
        <w:pStyle w:val="a3"/>
      </w:pPr>
      <w:r>
        <w:t>Д</w:t>
      </w:r>
      <w:r w:rsidRPr="000B2ACE">
        <w:t>ипломн</w:t>
      </w:r>
      <w:r>
        <w:t>у роботу присвячено дослідженню удосконалення комплексних систем захисту інформації органів місцевого самоврядування з урахуванням міжнародного досвіду.</w:t>
      </w:r>
      <w:r w:rsidRPr="000B2ACE">
        <w:t xml:space="preserve"> </w:t>
      </w:r>
    </w:p>
    <w:p w:rsidR="0007643A" w:rsidRDefault="0007643A" w:rsidP="00AF3580">
      <w:pPr>
        <w:pStyle w:val="a3"/>
      </w:pPr>
      <w:r>
        <w:t>Розглянуто основні аспекти захисту інформації в АС. Запропоновано нові методики захисту державних інформаційних ресурсів та персональних даних з врахуванням міжнародного досвіду.</w:t>
      </w:r>
    </w:p>
    <w:p w:rsidR="0007643A" w:rsidRDefault="0007643A" w:rsidP="00AF3580">
      <w:pPr>
        <w:pStyle w:val="a3"/>
      </w:pPr>
      <w:r>
        <w:t>Особливу увагу приділено питанням захисту службової та конфіденційної інформації від несанкціонованого доступу.</w:t>
      </w:r>
    </w:p>
    <w:p w:rsidR="0007643A" w:rsidRPr="000C7145" w:rsidRDefault="0007643A" w:rsidP="00AF3580">
      <w:pPr>
        <w:pStyle w:val="a3"/>
      </w:pPr>
      <w:r w:rsidRPr="000C7145">
        <w:rPr>
          <w:b/>
        </w:rPr>
        <w:t>Ключові слова</w:t>
      </w:r>
      <w:r w:rsidRPr="000C7145">
        <w:t xml:space="preserve">: </w:t>
      </w:r>
      <w:r w:rsidRPr="000B2ACE">
        <w:rPr>
          <w:color w:val="000000"/>
          <w:sz w:val="26"/>
          <w:szCs w:val="26"/>
        </w:rPr>
        <w:t xml:space="preserve">КСЗІ, АС, </w:t>
      </w:r>
      <w:r w:rsidRPr="00EB6E98">
        <w:rPr>
          <w:color w:val="000000"/>
          <w:sz w:val="26"/>
          <w:szCs w:val="26"/>
          <w:lang w:val="ru-RU"/>
        </w:rPr>
        <w:t>ІНФОРМАЦІЯ</w:t>
      </w:r>
      <w:r w:rsidRPr="000B2ACE">
        <w:rPr>
          <w:color w:val="000000"/>
          <w:sz w:val="26"/>
          <w:szCs w:val="26"/>
        </w:rPr>
        <w:t>, ІНФОРМАЦІЙНА БЕЗПЕКА</w:t>
      </w:r>
      <w:r>
        <w:rPr>
          <w:color w:val="000000"/>
          <w:sz w:val="26"/>
          <w:szCs w:val="26"/>
        </w:rPr>
        <w:t>,</w:t>
      </w:r>
    </w:p>
    <w:p w:rsidR="0007643A" w:rsidRPr="00384136" w:rsidRDefault="0007643A" w:rsidP="00AF3580">
      <w:pPr>
        <w:spacing w:line="360" w:lineRule="auto"/>
        <w:jc w:val="center"/>
        <w:rPr>
          <w:sz w:val="28"/>
          <w:szCs w:val="16"/>
        </w:rPr>
      </w:pPr>
    </w:p>
    <w:p w:rsidR="0007643A" w:rsidRPr="000C7145" w:rsidRDefault="0007643A" w:rsidP="00AF3580">
      <w:pPr>
        <w:spacing w:line="360" w:lineRule="auto"/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ANNOTATION</w:t>
      </w:r>
    </w:p>
    <w:p w:rsidR="00EA7B96" w:rsidRPr="00EA7B96" w:rsidRDefault="00EA7B96" w:rsidP="00EA7B96">
      <w:pPr>
        <w:spacing w:line="360" w:lineRule="auto"/>
        <w:ind w:firstLine="709"/>
        <w:contextualSpacing/>
        <w:rPr>
          <w:bCs/>
          <w:sz w:val="28"/>
          <w:szCs w:val="28"/>
          <w:lang w:eastAsia="uk-UA"/>
        </w:rPr>
      </w:pPr>
      <w:proofErr w:type="spellStart"/>
      <w:r w:rsidRPr="00EA7B96">
        <w:rPr>
          <w:bCs/>
          <w:sz w:val="28"/>
          <w:szCs w:val="28"/>
          <w:lang w:eastAsia="uk-UA"/>
        </w:rPr>
        <w:t>The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thesis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devoted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to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the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study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the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improvement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integrated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information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security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systems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local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self-government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bodies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taking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into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account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international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experience</w:t>
      </w:r>
      <w:proofErr w:type="spellEnd"/>
      <w:r w:rsidRPr="00EA7B96">
        <w:rPr>
          <w:bCs/>
          <w:sz w:val="28"/>
          <w:szCs w:val="28"/>
          <w:lang w:eastAsia="uk-UA"/>
        </w:rPr>
        <w:t>.</w:t>
      </w:r>
    </w:p>
    <w:p w:rsidR="00EA7B96" w:rsidRPr="00EA7B96" w:rsidRDefault="00EA7B96" w:rsidP="00EA7B96">
      <w:pPr>
        <w:spacing w:line="360" w:lineRule="auto"/>
        <w:ind w:firstLine="709"/>
        <w:contextualSpacing/>
        <w:rPr>
          <w:bCs/>
          <w:sz w:val="28"/>
          <w:szCs w:val="28"/>
          <w:lang w:eastAsia="uk-UA"/>
        </w:rPr>
      </w:pPr>
      <w:proofErr w:type="spellStart"/>
      <w:r w:rsidRPr="00EA7B96">
        <w:rPr>
          <w:bCs/>
          <w:sz w:val="28"/>
          <w:szCs w:val="28"/>
          <w:lang w:eastAsia="uk-UA"/>
        </w:rPr>
        <w:t>The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main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aspects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information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security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protection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the</w:t>
      </w:r>
      <w:proofErr w:type="spellEnd"/>
      <w:r w:rsidRPr="00EA7B96">
        <w:rPr>
          <w:bCs/>
          <w:sz w:val="28"/>
          <w:szCs w:val="28"/>
          <w:lang w:eastAsia="uk-UA"/>
        </w:rPr>
        <w:t xml:space="preserve"> AU </w:t>
      </w:r>
      <w:proofErr w:type="spellStart"/>
      <w:r w:rsidRPr="00EA7B96">
        <w:rPr>
          <w:bCs/>
          <w:sz w:val="28"/>
          <w:szCs w:val="28"/>
          <w:lang w:eastAsia="uk-UA"/>
        </w:rPr>
        <w:t>are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considered</w:t>
      </w:r>
      <w:proofErr w:type="spellEnd"/>
      <w:r w:rsidRPr="00EA7B96">
        <w:rPr>
          <w:bCs/>
          <w:sz w:val="28"/>
          <w:szCs w:val="28"/>
          <w:lang w:eastAsia="uk-UA"/>
        </w:rPr>
        <w:t xml:space="preserve">. </w:t>
      </w:r>
      <w:proofErr w:type="spellStart"/>
      <w:r w:rsidRPr="00EA7B96">
        <w:rPr>
          <w:bCs/>
          <w:sz w:val="28"/>
          <w:szCs w:val="28"/>
          <w:lang w:eastAsia="uk-UA"/>
        </w:rPr>
        <w:t>New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methods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protection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state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information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resources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and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personal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data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with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the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account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international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experience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are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offered</w:t>
      </w:r>
      <w:proofErr w:type="spellEnd"/>
      <w:r w:rsidRPr="00EA7B96">
        <w:rPr>
          <w:bCs/>
          <w:sz w:val="28"/>
          <w:szCs w:val="28"/>
          <w:lang w:eastAsia="uk-UA"/>
        </w:rPr>
        <w:t>.</w:t>
      </w:r>
    </w:p>
    <w:p w:rsidR="00EA7B96" w:rsidRPr="00EA7B96" w:rsidRDefault="00EA7B96" w:rsidP="00EA7B96">
      <w:pPr>
        <w:spacing w:line="360" w:lineRule="auto"/>
        <w:ind w:firstLine="709"/>
        <w:contextualSpacing/>
        <w:rPr>
          <w:bCs/>
          <w:sz w:val="28"/>
          <w:szCs w:val="28"/>
          <w:lang w:eastAsia="uk-UA"/>
        </w:rPr>
      </w:pPr>
      <w:proofErr w:type="spellStart"/>
      <w:r w:rsidRPr="00EA7B96">
        <w:rPr>
          <w:bCs/>
          <w:sz w:val="28"/>
          <w:szCs w:val="28"/>
          <w:lang w:eastAsia="uk-UA"/>
        </w:rPr>
        <w:t>Particular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attention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is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paid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to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the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protection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official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and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confidential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information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from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unauthorized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access</w:t>
      </w:r>
      <w:proofErr w:type="spellEnd"/>
      <w:r w:rsidRPr="00EA7B96">
        <w:rPr>
          <w:bCs/>
          <w:sz w:val="28"/>
          <w:szCs w:val="28"/>
          <w:lang w:eastAsia="uk-UA"/>
        </w:rPr>
        <w:t>.</w:t>
      </w:r>
    </w:p>
    <w:p w:rsidR="0007643A" w:rsidRPr="00EA7B96" w:rsidRDefault="00EA7B96" w:rsidP="00EA7B96">
      <w:pPr>
        <w:spacing w:line="360" w:lineRule="auto"/>
        <w:contextualSpacing/>
        <w:rPr>
          <w:lang w:val="en-US"/>
        </w:rPr>
      </w:pPr>
      <w:proofErr w:type="spellStart"/>
      <w:r w:rsidRPr="00EA7B96">
        <w:rPr>
          <w:bCs/>
          <w:sz w:val="28"/>
          <w:szCs w:val="28"/>
          <w:lang w:eastAsia="uk-UA"/>
        </w:rPr>
        <w:t>Key</w:t>
      </w:r>
      <w:proofErr w:type="spellEnd"/>
      <w:r w:rsidRPr="00EA7B96">
        <w:rPr>
          <w:bCs/>
          <w:sz w:val="28"/>
          <w:szCs w:val="28"/>
          <w:lang w:eastAsia="uk-UA"/>
        </w:rPr>
        <w:t xml:space="preserve"> </w:t>
      </w:r>
      <w:proofErr w:type="spellStart"/>
      <w:r w:rsidRPr="00EA7B96">
        <w:rPr>
          <w:bCs/>
          <w:sz w:val="28"/>
          <w:szCs w:val="28"/>
          <w:lang w:eastAsia="uk-UA"/>
        </w:rPr>
        <w:t>words</w:t>
      </w:r>
      <w:proofErr w:type="spellEnd"/>
      <w:r w:rsidRPr="00EA7B96">
        <w:rPr>
          <w:bCs/>
          <w:sz w:val="28"/>
          <w:szCs w:val="28"/>
          <w:lang w:eastAsia="uk-UA"/>
        </w:rPr>
        <w:t>: KSZI, AS, INFORMATION, INFORMATION SECURITY,</w:t>
      </w:r>
    </w:p>
    <w:sectPr w:rsidR="0007643A" w:rsidRPr="00EA7B96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2E" w:rsidRDefault="0079122E" w:rsidP="00EB7A15">
      <w:r>
        <w:separator/>
      </w:r>
    </w:p>
  </w:endnote>
  <w:endnote w:type="continuationSeparator" w:id="0">
    <w:p w:rsidR="0079122E" w:rsidRDefault="0079122E" w:rsidP="00EB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Default="0007643A" w:rsidP="008146AB">
    <w:pPr>
      <w:pStyle w:val="a7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9653DB">
      <w:rPr>
        <w:noProof/>
        <w:sz w:val="24"/>
      </w:rPr>
      <w:t>6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2E" w:rsidRDefault="0079122E" w:rsidP="00EB7A15">
      <w:r>
        <w:separator/>
      </w:r>
    </w:p>
  </w:footnote>
  <w:footnote w:type="continuationSeparator" w:id="0">
    <w:p w:rsidR="0079122E" w:rsidRDefault="0079122E" w:rsidP="00EB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Default="000764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43A" w:rsidRDefault="000764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Default="0007643A">
    <w:pPr>
      <w:pStyle w:val="a4"/>
      <w:framePr w:wrap="around" w:vAnchor="text" w:hAnchor="margin" w:xAlign="center" w:y="1"/>
      <w:rPr>
        <w:rStyle w:val="a6"/>
        <w:lang w:val="en-US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7643A" w:rsidRDefault="000764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Default="000764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43A" w:rsidRDefault="0007643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Pr="00D437E1" w:rsidRDefault="0007643A" w:rsidP="00D437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0CE"/>
    <w:multiLevelType w:val="hybridMultilevel"/>
    <w:tmpl w:val="6B66A268"/>
    <w:lvl w:ilvl="0" w:tplc="5E507E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5E500D"/>
    <w:multiLevelType w:val="hybridMultilevel"/>
    <w:tmpl w:val="9ADA24BE"/>
    <w:lvl w:ilvl="0" w:tplc="04220001">
      <w:start w:val="1"/>
      <w:numFmt w:val="bullet"/>
      <w:lvlText w:val=""/>
      <w:lvlJc w:val="left"/>
      <w:pPr>
        <w:ind w:left="2229" w:hanging="109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E7845A9"/>
    <w:multiLevelType w:val="hybridMultilevel"/>
    <w:tmpl w:val="043A7C68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A8161D"/>
    <w:multiLevelType w:val="hybridMultilevel"/>
    <w:tmpl w:val="3A0C4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1A5307"/>
    <w:multiLevelType w:val="multilevel"/>
    <w:tmpl w:val="3A0C4E9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B7426E"/>
    <w:multiLevelType w:val="hybridMultilevel"/>
    <w:tmpl w:val="C3925BB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EC"/>
    <w:rsid w:val="00006523"/>
    <w:rsid w:val="000155AE"/>
    <w:rsid w:val="000522CC"/>
    <w:rsid w:val="00060085"/>
    <w:rsid w:val="0007643A"/>
    <w:rsid w:val="000B1E4E"/>
    <w:rsid w:val="000B2ACE"/>
    <w:rsid w:val="000C7145"/>
    <w:rsid w:val="00125426"/>
    <w:rsid w:val="001C564F"/>
    <w:rsid w:val="001E4DBC"/>
    <w:rsid w:val="00223164"/>
    <w:rsid w:val="00286A19"/>
    <w:rsid w:val="002B393C"/>
    <w:rsid w:val="0030494B"/>
    <w:rsid w:val="003727F7"/>
    <w:rsid w:val="00384136"/>
    <w:rsid w:val="003955E9"/>
    <w:rsid w:val="003D7C53"/>
    <w:rsid w:val="004410D3"/>
    <w:rsid w:val="00452156"/>
    <w:rsid w:val="00492315"/>
    <w:rsid w:val="00605EE5"/>
    <w:rsid w:val="006077EC"/>
    <w:rsid w:val="00614939"/>
    <w:rsid w:val="006A3D08"/>
    <w:rsid w:val="0071574C"/>
    <w:rsid w:val="00761A9F"/>
    <w:rsid w:val="0078781E"/>
    <w:rsid w:val="0079122E"/>
    <w:rsid w:val="00792596"/>
    <w:rsid w:val="007B5D00"/>
    <w:rsid w:val="007C5E3D"/>
    <w:rsid w:val="007D1BFF"/>
    <w:rsid w:val="007E4AF7"/>
    <w:rsid w:val="008146AB"/>
    <w:rsid w:val="00900D1A"/>
    <w:rsid w:val="0095536D"/>
    <w:rsid w:val="009653DB"/>
    <w:rsid w:val="009C6262"/>
    <w:rsid w:val="00AB66CB"/>
    <w:rsid w:val="00AF3580"/>
    <w:rsid w:val="00B519C8"/>
    <w:rsid w:val="00B727CC"/>
    <w:rsid w:val="00BF4048"/>
    <w:rsid w:val="00C429DC"/>
    <w:rsid w:val="00C472B8"/>
    <w:rsid w:val="00C61066"/>
    <w:rsid w:val="00CA1F15"/>
    <w:rsid w:val="00CC35DE"/>
    <w:rsid w:val="00CD688E"/>
    <w:rsid w:val="00D3737D"/>
    <w:rsid w:val="00D4052A"/>
    <w:rsid w:val="00D437E1"/>
    <w:rsid w:val="00D56FD2"/>
    <w:rsid w:val="00DC4D65"/>
    <w:rsid w:val="00E237AE"/>
    <w:rsid w:val="00EA7B96"/>
    <w:rsid w:val="00EB6E98"/>
    <w:rsid w:val="00EB7A15"/>
    <w:rsid w:val="00F26040"/>
    <w:rsid w:val="00F36CCE"/>
    <w:rsid w:val="00F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3582A"/>
  <w15:docId w15:val="{9D9FD2E2-A858-40B5-9415-F86EB6F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F7"/>
    <w:pPr>
      <w:ind w:firstLine="284"/>
      <w:jc w:val="both"/>
    </w:pPr>
    <w:rPr>
      <w:rFonts w:ascii="Times New Roman" w:eastAsia="Times New Roman" w:hAnsi="Times New Roman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uiPriority w:val="99"/>
    <w:rsid w:val="007E4AF7"/>
    <w:pPr>
      <w:suppressAutoHyphens/>
      <w:spacing w:line="360" w:lineRule="auto"/>
      <w:ind w:firstLine="709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7E4AF7"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4AF7"/>
    <w:rPr>
      <w:rFonts w:ascii="Times New Roman" w:hAnsi="Times New Roman" w:cs="Times New Roman"/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semiHidden/>
    <w:rsid w:val="007E4AF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E4AF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rsid w:val="007E4AF7"/>
    <w:rPr>
      <w:rFonts w:cs="Times New Roman"/>
    </w:rPr>
  </w:style>
  <w:style w:type="paragraph" w:styleId="a7">
    <w:name w:val="footer"/>
    <w:basedOn w:val="a"/>
    <w:link w:val="a8"/>
    <w:uiPriority w:val="99"/>
    <w:rsid w:val="007E4AF7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E4AF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E4AF7"/>
    <w:pPr>
      <w:ind w:left="720"/>
      <w:contextualSpacing/>
    </w:pPr>
  </w:style>
  <w:style w:type="paragraph" w:customStyle="1" w:styleId="Default">
    <w:name w:val="Default"/>
    <w:uiPriority w:val="99"/>
    <w:rsid w:val="007E4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7E4AF7"/>
  </w:style>
  <w:style w:type="paragraph" w:styleId="HTML">
    <w:name w:val="HTML Preformatted"/>
    <w:basedOn w:val="a"/>
    <w:link w:val="HTML0"/>
    <w:uiPriority w:val="99"/>
    <w:semiHidden/>
    <w:rsid w:val="007E4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E4AF7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Гуменний</dc:creator>
  <cp:keywords/>
  <dc:description/>
  <cp:lastModifiedBy>Андрій Гуменний</cp:lastModifiedBy>
  <cp:revision>3</cp:revision>
  <dcterms:created xsi:type="dcterms:W3CDTF">2018-12-27T21:02:00Z</dcterms:created>
  <dcterms:modified xsi:type="dcterms:W3CDTF">2018-12-28T00:57:00Z</dcterms:modified>
</cp:coreProperties>
</file>