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50F" w:rsidRPr="0078681B" w:rsidRDefault="00002EBD" w:rsidP="00524855">
      <w:pPr>
        <w:spacing w:after="0" w:line="240" w:lineRule="auto"/>
        <w:ind w:firstLine="567"/>
        <w:jc w:val="right"/>
        <w:rPr>
          <w:rFonts w:ascii="Times New Roman" w:hAnsi="Times New Roman"/>
          <w:b/>
          <w:sz w:val="28"/>
          <w:szCs w:val="28"/>
        </w:rPr>
      </w:pPr>
      <w:proofErr w:type="spellStart"/>
      <w:r>
        <w:rPr>
          <w:rFonts w:ascii="Times New Roman" w:hAnsi="Times New Roman"/>
          <w:b/>
          <w:sz w:val="28"/>
          <w:szCs w:val="28"/>
        </w:rPr>
        <w:t>Машлій</w:t>
      </w:r>
      <w:proofErr w:type="spellEnd"/>
      <w:r>
        <w:rPr>
          <w:rFonts w:ascii="Times New Roman" w:hAnsi="Times New Roman"/>
          <w:b/>
          <w:sz w:val="28"/>
          <w:szCs w:val="28"/>
        </w:rPr>
        <w:t xml:space="preserve"> Галина</w:t>
      </w:r>
    </w:p>
    <w:p w:rsidR="0003450F" w:rsidRPr="0078681B" w:rsidRDefault="00002EBD" w:rsidP="00524855">
      <w:pPr>
        <w:spacing w:after="0" w:line="240" w:lineRule="auto"/>
        <w:ind w:firstLine="567"/>
        <w:jc w:val="right"/>
        <w:rPr>
          <w:rFonts w:ascii="Times New Roman" w:hAnsi="Times New Roman"/>
          <w:sz w:val="28"/>
          <w:szCs w:val="28"/>
        </w:rPr>
      </w:pPr>
      <w:proofErr w:type="spellStart"/>
      <w:r>
        <w:rPr>
          <w:rFonts w:ascii="Times New Roman" w:hAnsi="Times New Roman"/>
          <w:sz w:val="28"/>
          <w:szCs w:val="28"/>
        </w:rPr>
        <w:t>к.е.н</w:t>
      </w:r>
      <w:proofErr w:type="spellEnd"/>
      <w:r>
        <w:rPr>
          <w:rFonts w:ascii="Times New Roman" w:hAnsi="Times New Roman"/>
          <w:sz w:val="28"/>
          <w:szCs w:val="28"/>
        </w:rPr>
        <w:t>., доцент</w:t>
      </w:r>
    </w:p>
    <w:p w:rsidR="0003450F" w:rsidRPr="0078681B" w:rsidRDefault="00002EBD" w:rsidP="00524855">
      <w:pPr>
        <w:spacing w:after="0" w:line="240" w:lineRule="auto"/>
        <w:ind w:firstLine="567"/>
        <w:jc w:val="right"/>
        <w:rPr>
          <w:rFonts w:ascii="Times New Roman" w:hAnsi="Times New Roman"/>
          <w:b/>
          <w:sz w:val="28"/>
          <w:szCs w:val="28"/>
        </w:rPr>
      </w:pPr>
      <w:proofErr w:type="spellStart"/>
      <w:r>
        <w:rPr>
          <w:rFonts w:ascii="Times New Roman" w:hAnsi="Times New Roman"/>
          <w:b/>
          <w:sz w:val="28"/>
          <w:szCs w:val="28"/>
        </w:rPr>
        <w:t>Яцик</w:t>
      </w:r>
      <w:proofErr w:type="spellEnd"/>
      <w:r>
        <w:rPr>
          <w:rFonts w:ascii="Times New Roman" w:hAnsi="Times New Roman"/>
          <w:b/>
          <w:sz w:val="28"/>
          <w:szCs w:val="28"/>
        </w:rPr>
        <w:t xml:space="preserve"> Марія</w:t>
      </w:r>
    </w:p>
    <w:p w:rsidR="0003450F" w:rsidRPr="0078681B" w:rsidRDefault="00002EBD" w:rsidP="00524855">
      <w:pPr>
        <w:spacing w:after="0" w:line="240" w:lineRule="auto"/>
        <w:ind w:firstLine="567"/>
        <w:jc w:val="right"/>
        <w:rPr>
          <w:rFonts w:ascii="Times New Roman" w:hAnsi="Times New Roman"/>
          <w:sz w:val="28"/>
          <w:szCs w:val="28"/>
        </w:rPr>
      </w:pPr>
      <w:r>
        <w:rPr>
          <w:rFonts w:ascii="Times New Roman" w:hAnsi="Times New Roman"/>
          <w:sz w:val="28"/>
          <w:szCs w:val="28"/>
        </w:rPr>
        <w:t>студент</w:t>
      </w:r>
    </w:p>
    <w:p w:rsidR="00002EBD" w:rsidRPr="00C5386B" w:rsidRDefault="00002EBD" w:rsidP="00524855">
      <w:pPr>
        <w:spacing w:after="0" w:line="240" w:lineRule="auto"/>
        <w:ind w:firstLine="567"/>
        <w:jc w:val="right"/>
        <w:rPr>
          <w:rFonts w:ascii="Times New Roman" w:hAnsi="Times New Roman"/>
          <w:sz w:val="28"/>
          <w:szCs w:val="28"/>
          <w:lang w:val="ru-RU"/>
        </w:rPr>
      </w:pPr>
      <w:r w:rsidRPr="00002EBD">
        <w:rPr>
          <w:rFonts w:ascii="Times New Roman" w:hAnsi="Times New Roman"/>
          <w:sz w:val="28"/>
          <w:szCs w:val="28"/>
        </w:rPr>
        <w:t xml:space="preserve">Тернопільський національний технічний університет імені Івана Пулюя </w:t>
      </w:r>
    </w:p>
    <w:p w:rsidR="0003450F" w:rsidRPr="00002EBD" w:rsidRDefault="0003450F" w:rsidP="00524855">
      <w:pPr>
        <w:spacing w:after="0" w:line="240" w:lineRule="auto"/>
        <w:ind w:firstLine="567"/>
        <w:jc w:val="right"/>
        <w:rPr>
          <w:rFonts w:ascii="Times New Roman" w:hAnsi="Times New Roman"/>
          <w:sz w:val="28"/>
          <w:szCs w:val="28"/>
        </w:rPr>
      </w:pPr>
      <w:r w:rsidRPr="0078681B">
        <w:rPr>
          <w:rFonts w:ascii="Times New Roman" w:hAnsi="Times New Roman"/>
          <w:sz w:val="28"/>
          <w:szCs w:val="28"/>
        </w:rPr>
        <w:t xml:space="preserve">м. </w:t>
      </w:r>
      <w:r w:rsidR="00002EBD">
        <w:rPr>
          <w:rFonts w:ascii="Times New Roman" w:hAnsi="Times New Roman"/>
          <w:sz w:val="28"/>
          <w:szCs w:val="28"/>
        </w:rPr>
        <w:t>Тернопіль</w:t>
      </w:r>
    </w:p>
    <w:p w:rsidR="0003450F" w:rsidRPr="0078681B" w:rsidRDefault="0003450F" w:rsidP="00524855">
      <w:pPr>
        <w:spacing w:after="0" w:line="240" w:lineRule="auto"/>
        <w:ind w:firstLine="567"/>
        <w:jc w:val="right"/>
        <w:rPr>
          <w:rFonts w:ascii="Times New Roman" w:hAnsi="Times New Roman"/>
          <w:sz w:val="28"/>
          <w:szCs w:val="28"/>
        </w:rPr>
      </w:pPr>
      <w:r w:rsidRPr="0078681B">
        <w:rPr>
          <w:rFonts w:ascii="Times New Roman" w:hAnsi="Times New Roman"/>
          <w:sz w:val="28"/>
          <w:szCs w:val="28"/>
        </w:rPr>
        <w:t>Україна</w:t>
      </w:r>
    </w:p>
    <w:p w:rsidR="0003450F" w:rsidRPr="0078681B" w:rsidRDefault="00002EBD" w:rsidP="00524855">
      <w:pPr>
        <w:spacing w:after="0" w:line="240" w:lineRule="auto"/>
        <w:ind w:firstLine="567"/>
        <w:jc w:val="center"/>
        <w:rPr>
          <w:rFonts w:ascii="Times New Roman" w:hAnsi="Times New Roman"/>
          <w:b/>
          <w:sz w:val="28"/>
          <w:szCs w:val="28"/>
        </w:rPr>
      </w:pPr>
      <w:r w:rsidRPr="00002EBD">
        <w:rPr>
          <w:rFonts w:ascii="Times New Roman" w:hAnsi="Times New Roman"/>
          <w:b/>
          <w:sz w:val="28"/>
          <w:szCs w:val="28"/>
        </w:rPr>
        <w:t>ПРОБЛЕМИ ТА ШЛЯХИ ПІДВИЩЕННЯ ЕФЕКТИВНОСТІ ДЕРЖАВНОГО РЕГУЛЮВАННЯ ФОНДОВОГО РИНКУ УКРАЇНИ</w:t>
      </w:r>
    </w:p>
    <w:p w:rsidR="001E3551" w:rsidRPr="001E3551" w:rsidRDefault="001E3551" w:rsidP="00365866">
      <w:pPr>
        <w:spacing w:after="0" w:line="240" w:lineRule="auto"/>
        <w:ind w:firstLine="567"/>
        <w:jc w:val="both"/>
        <w:rPr>
          <w:rFonts w:ascii="Times New Roman" w:hAnsi="Times New Roman"/>
          <w:sz w:val="28"/>
          <w:szCs w:val="28"/>
        </w:rPr>
      </w:pPr>
      <w:r w:rsidRPr="001E3551">
        <w:rPr>
          <w:rFonts w:ascii="Times New Roman" w:hAnsi="Times New Roman"/>
          <w:sz w:val="28"/>
          <w:szCs w:val="28"/>
        </w:rPr>
        <w:t>Наша держава має досить високий економічний потенціал для того, щоб розбудовувати на своїй території національний фондовий ринок, темпи росту якого зможуть значно випередити динаміку росту валового внутрішнього продукту. Фондовий ринок повинен функціонувати як регульована складова великої та складної фінансової системи, яка буде синхронізована з банківським сектором та системою державного фінансування. З метою впорядкування діяльності та розвитку ринку цінних паперів в Україні повинна бути підготовлена, чітко окреслена програма, яка буде в подальшому визначати основні напрямки його майбутнього реформування та значну модернізацію на всіх його рівнях – правовому, інституціональному та технологічному.</w:t>
      </w:r>
    </w:p>
    <w:p w:rsidR="001E3551" w:rsidRPr="001E3551" w:rsidRDefault="001E3551" w:rsidP="00365866">
      <w:pPr>
        <w:spacing w:after="0" w:line="240" w:lineRule="auto"/>
        <w:ind w:firstLine="567"/>
        <w:jc w:val="both"/>
        <w:rPr>
          <w:rFonts w:ascii="Times New Roman" w:eastAsia="Times New Roman" w:hAnsi="Times New Roman"/>
          <w:sz w:val="28"/>
          <w:szCs w:val="28"/>
          <w:lang w:eastAsia="uk-UA"/>
        </w:rPr>
      </w:pPr>
      <w:r w:rsidRPr="001E3551">
        <w:rPr>
          <w:rFonts w:ascii="Times New Roman" w:hAnsi="Times New Roman"/>
          <w:sz w:val="28"/>
          <w:szCs w:val="28"/>
        </w:rPr>
        <w:t xml:space="preserve">На даний час фондовий ринок України все ще перебуває на стадії розбудови. Проводячи аналіз його стану за останній період функціонування, можна відмітити ряд позитивних моментів. </w:t>
      </w:r>
      <w:r w:rsidR="001349F9">
        <w:rPr>
          <w:rFonts w:ascii="Times New Roman" w:hAnsi="Times New Roman"/>
          <w:sz w:val="28"/>
          <w:szCs w:val="28"/>
        </w:rPr>
        <w:t>На це вказує стан</w:t>
      </w:r>
      <w:r w:rsidRPr="001E3551">
        <w:rPr>
          <w:rFonts w:ascii="Times New Roman" w:hAnsi="Times New Roman"/>
          <w:sz w:val="28"/>
          <w:szCs w:val="28"/>
        </w:rPr>
        <w:t xml:space="preserve"> інфраструктур</w:t>
      </w:r>
      <w:r w:rsidR="001349F9">
        <w:rPr>
          <w:rFonts w:ascii="Times New Roman" w:hAnsi="Times New Roman"/>
          <w:sz w:val="28"/>
          <w:szCs w:val="28"/>
        </w:rPr>
        <w:t>и</w:t>
      </w:r>
      <w:r w:rsidRPr="001E3551">
        <w:rPr>
          <w:rFonts w:ascii="Times New Roman" w:hAnsi="Times New Roman"/>
          <w:sz w:val="28"/>
          <w:szCs w:val="28"/>
        </w:rPr>
        <w:t xml:space="preserve"> ринку цінних паперів, яка має схильність до розвитку та зростання, незважаючи на складність процесів, що активно відбуваються в Україні. Показники обсягів біржових контрактів з цінними паперами по організаторах торгівлі в Україні протягом січня-жовтня 2016 року </w:t>
      </w:r>
      <w:r w:rsidR="00365866">
        <w:rPr>
          <w:rFonts w:ascii="Times New Roman" w:hAnsi="Times New Roman"/>
          <w:sz w:val="28"/>
          <w:szCs w:val="28"/>
        </w:rPr>
        <w:t>наведе</w:t>
      </w:r>
      <w:r w:rsidRPr="001E3551">
        <w:rPr>
          <w:rFonts w:ascii="Times New Roman" w:hAnsi="Times New Roman"/>
          <w:sz w:val="28"/>
          <w:szCs w:val="28"/>
        </w:rPr>
        <w:t>но у табл. 1.</w:t>
      </w:r>
      <w:r>
        <w:rPr>
          <w:rFonts w:ascii="Times New Roman" w:hAnsi="Times New Roman"/>
          <w:sz w:val="28"/>
          <w:szCs w:val="28"/>
        </w:rPr>
        <w:t xml:space="preserve"> </w:t>
      </w:r>
    </w:p>
    <w:p w:rsidR="0003450F" w:rsidRPr="0078681B" w:rsidRDefault="0003450F" w:rsidP="00524855">
      <w:pPr>
        <w:spacing w:after="0" w:line="240" w:lineRule="auto"/>
        <w:ind w:firstLine="567"/>
        <w:jc w:val="right"/>
        <w:rPr>
          <w:rFonts w:ascii="Times New Roman" w:hAnsi="Times New Roman"/>
          <w:i/>
          <w:sz w:val="28"/>
          <w:szCs w:val="28"/>
        </w:rPr>
      </w:pPr>
      <w:r w:rsidRPr="0078681B">
        <w:rPr>
          <w:rFonts w:ascii="Times New Roman" w:hAnsi="Times New Roman"/>
          <w:i/>
          <w:sz w:val="28"/>
          <w:szCs w:val="28"/>
        </w:rPr>
        <w:t>Таблиця</w:t>
      </w:r>
      <w:r w:rsidR="001E3551">
        <w:rPr>
          <w:rFonts w:ascii="Times New Roman" w:hAnsi="Times New Roman"/>
          <w:i/>
          <w:sz w:val="28"/>
          <w:szCs w:val="28"/>
        </w:rPr>
        <w:t xml:space="preserve"> 1</w:t>
      </w:r>
    </w:p>
    <w:p w:rsidR="001E3551" w:rsidRPr="001E3551" w:rsidRDefault="001E3551" w:rsidP="00524855">
      <w:pPr>
        <w:spacing w:after="0" w:line="240" w:lineRule="auto"/>
        <w:ind w:firstLine="567"/>
        <w:jc w:val="center"/>
        <w:rPr>
          <w:rFonts w:ascii="Times New Roman" w:hAnsi="Times New Roman"/>
          <w:b/>
          <w:sz w:val="28"/>
          <w:szCs w:val="28"/>
        </w:rPr>
      </w:pPr>
      <w:r w:rsidRPr="001E3551">
        <w:rPr>
          <w:rFonts w:ascii="Times New Roman" w:hAnsi="Times New Roman"/>
          <w:b/>
          <w:sz w:val="28"/>
          <w:szCs w:val="28"/>
        </w:rPr>
        <w:t xml:space="preserve">Обсяги біржових контрактів з цінними паперами по </w:t>
      </w:r>
    </w:p>
    <w:p w:rsidR="0003450F" w:rsidRDefault="001E3551" w:rsidP="00524855">
      <w:pPr>
        <w:spacing w:after="0" w:line="240" w:lineRule="auto"/>
        <w:ind w:firstLine="567"/>
        <w:jc w:val="center"/>
        <w:rPr>
          <w:rFonts w:ascii="Times New Roman" w:hAnsi="Times New Roman"/>
          <w:b/>
          <w:sz w:val="28"/>
          <w:szCs w:val="28"/>
        </w:rPr>
      </w:pPr>
      <w:r w:rsidRPr="001E3551">
        <w:rPr>
          <w:rFonts w:ascii="Times New Roman" w:hAnsi="Times New Roman"/>
          <w:b/>
          <w:sz w:val="28"/>
          <w:szCs w:val="28"/>
        </w:rPr>
        <w:t>організаторах торгівлі в Україні протягом січня-жовтня 2016 року, млн. грн.*</w:t>
      </w:r>
    </w:p>
    <w:tbl>
      <w:tblPr>
        <w:tblW w:w="5000" w:type="pct"/>
        <w:jc w:val="center"/>
        <w:tblLayout w:type="fixed"/>
        <w:tblLook w:val="0000" w:firstRow="0" w:lastRow="0" w:firstColumn="0" w:lastColumn="0" w:noHBand="0" w:noVBand="0"/>
      </w:tblPr>
      <w:tblGrid>
        <w:gridCol w:w="1243"/>
        <w:gridCol w:w="709"/>
        <w:gridCol w:w="991"/>
        <w:gridCol w:w="1277"/>
        <w:gridCol w:w="1133"/>
        <w:gridCol w:w="1275"/>
        <w:gridCol w:w="1135"/>
        <w:gridCol w:w="709"/>
        <w:gridCol w:w="1382"/>
      </w:tblGrid>
      <w:tr w:rsidR="001E3551" w:rsidRPr="001E3551" w:rsidTr="001E3551">
        <w:trPr>
          <w:trHeight w:val="302"/>
          <w:jc w:val="center"/>
        </w:trPr>
        <w:tc>
          <w:tcPr>
            <w:tcW w:w="630" w:type="pct"/>
            <w:vMerge w:val="restart"/>
            <w:tcBorders>
              <w:top w:val="single" w:sz="4" w:space="0" w:color="auto"/>
              <w:left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firstLine="288"/>
              <w:jc w:val="center"/>
              <w:rPr>
                <w:rFonts w:ascii="Times New Roman Cyr" w:hAnsi="Times New Roman Cyr"/>
                <w:bCs/>
                <w:sz w:val="24"/>
                <w:szCs w:val="24"/>
                <w:lang w:eastAsia="uk-UA"/>
              </w:rPr>
            </w:pPr>
            <w:r w:rsidRPr="001E3551">
              <w:rPr>
                <w:rFonts w:ascii="Times New Roman Cyr" w:hAnsi="Times New Roman Cyr"/>
                <w:bCs/>
                <w:sz w:val="24"/>
                <w:szCs w:val="24"/>
                <w:lang w:eastAsia="uk-UA"/>
              </w:rPr>
              <w:t>Період</w:t>
            </w:r>
          </w:p>
        </w:tc>
        <w:tc>
          <w:tcPr>
            <w:tcW w:w="3669" w:type="pct"/>
            <w:gridSpan w:val="7"/>
            <w:tcBorders>
              <w:top w:val="single" w:sz="4" w:space="0" w:color="auto"/>
              <w:left w:val="nil"/>
              <w:bottom w:val="single" w:sz="4" w:space="0" w:color="auto"/>
              <w:right w:val="single" w:sz="4" w:space="0" w:color="auto"/>
            </w:tcBorders>
            <w:shd w:val="clear" w:color="auto" w:fill="auto"/>
            <w:noWrap/>
            <w:vAlign w:val="center"/>
          </w:tcPr>
          <w:p w:rsidR="001E3551" w:rsidRPr="001E3551" w:rsidRDefault="001E3551" w:rsidP="00524855">
            <w:pPr>
              <w:spacing w:after="0" w:line="240" w:lineRule="auto"/>
              <w:ind w:left="-288" w:firstLine="288"/>
              <w:jc w:val="center"/>
              <w:rPr>
                <w:rFonts w:ascii="Times New Roman Cyr" w:hAnsi="Times New Roman Cyr"/>
                <w:sz w:val="24"/>
                <w:szCs w:val="24"/>
                <w:lang w:eastAsia="uk-UA"/>
              </w:rPr>
            </w:pPr>
            <w:r w:rsidRPr="001E3551">
              <w:rPr>
                <w:rFonts w:ascii="Times New Roman Cyr" w:hAnsi="Times New Roman Cyr"/>
                <w:sz w:val="24"/>
                <w:szCs w:val="24"/>
                <w:lang w:eastAsia="uk-UA"/>
              </w:rPr>
              <w:t>Організатор торгівлі</w:t>
            </w:r>
          </w:p>
        </w:tc>
        <w:tc>
          <w:tcPr>
            <w:tcW w:w="701" w:type="pct"/>
            <w:tcBorders>
              <w:top w:val="single" w:sz="4" w:space="0" w:color="auto"/>
              <w:left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firstLine="288"/>
              <w:jc w:val="center"/>
              <w:rPr>
                <w:rFonts w:ascii="Times New Roman Cyr" w:hAnsi="Times New Roman Cyr"/>
                <w:bCs/>
                <w:sz w:val="24"/>
                <w:szCs w:val="24"/>
                <w:lang w:eastAsia="uk-UA"/>
              </w:rPr>
            </w:pPr>
            <w:r w:rsidRPr="001E3551">
              <w:rPr>
                <w:rFonts w:ascii="Times New Roman Cyr" w:hAnsi="Times New Roman Cyr"/>
                <w:bCs/>
                <w:sz w:val="24"/>
                <w:szCs w:val="24"/>
                <w:lang w:eastAsia="uk-UA"/>
              </w:rPr>
              <w:t>Усього</w:t>
            </w:r>
          </w:p>
        </w:tc>
      </w:tr>
      <w:tr w:rsidR="001E3551" w:rsidRPr="001E3551" w:rsidTr="001E3551">
        <w:trPr>
          <w:trHeight w:val="517"/>
          <w:jc w:val="center"/>
        </w:trPr>
        <w:tc>
          <w:tcPr>
            <w:tcW w:w="630" w:type="pct"/>
            <w:vMerge/>
            <w:tcBorders>
              <w:left w:val="single" w:sz="4" w:space="0" w:color="auto"/>
              <w:bottom w:val="single" w:sz="4" w:space="0" w:color="auto"/>
              <w:right w:val="single" w:sz="4" w:space="0" w:color="auto"/>
            </w:tcBorders>
            <w:vAlign w:val="center"/>
          </w:tcPr>
          <w:p w:rsidR="001E3551" w:rsidRPr="001E3551" w:rsidRDefault="001E3551" w:rsidP="00524855">
            <w:pPr>
              <w:spacing w:after="0" w:line="240" w:lineRule="auto"/>
              <w:ind w:left="-288" w:firstLine="288"/>
              <w:jc w:val="center"/>
              <w:rPr>
                <w:rFonts w:ascii="Times New Roman Cyr" w:hAnsi="Times New Roman Cyr"/>
                <w:bCs/>
                <w:sz w:val="24"/>
                <w:szCs w:val="24"/>
                <w:lang w:eastAsia="uk-UA"/>
              </w:rPr>
            </w:pPr>
          </w:p>
        </w:tc>
        <w:tc>
          <w:tcPr>
            <w:tcW w:w="360" w:type="pct"/>
            <w:tcBorders>
              <w:top w:val="nil"/>
              <w:left w:val="nil"/>
              <w:bottom w:val="single" w:sz="4" w:space="0" w:color="auto"/>
              <w:right w:val="single" w:sz="4" w:space="0" w:color="auto"/>
            </w:tcBorders>
            <w:shd w:val="clear" w:color="auto" w:fill="auto"/>
            <w:noWrap/>
            <w:vAlign w:val="center"/>
          </w:tcPr>
          <w:p w:rsidR="001E3551" w:rsidRPr="001E3551" w:rsidRDefault="001E3551" w:rsidP="00524855">
            <w:pPr>
              <w:spacing w:after="0" w:line="240" w:lineRule="auto"/>
              <w:ind w:left="-288" w:firstLine="181"/>
              <w:jc w:val="center"/>
              <w:rPr>
                <w:rFonts w:ascii="Times New Roman Cyr" w:hAnsi="Times New Roman Cyr"/>
                <w:bCs/>
                <w:sz w:val="24"/>
                <w:szCs w:val="24"/>
                <w:lang w:eastAsia="uk-UA"/>
              </w:rPr>
            </w:pPr>
            <w:r w:rsidRPr="001E3551">
              <w:rPr>
                <w:rFonts w:ascii="Times New Roman Cyr" w:hAnsi="Times New Roman Cyr"/>
                <w:bCs/>
                <w:sz w:val="24"/>
                <w:szCs w:val="24"/>
                <w:lang w:eastAsia="uk-UA"/>
              </w:rPr>
              <w:t>УФБ</w:t>
            </w:r>
          </w:p>
        </w:tc>
        <w:tc>
          <w:tcPr>
            <w:tcW w:w="503"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109" w:firstLine="64"/>
              <w:jc w:val="center"/>
              <w:rPr>
                <w:rFonts w:ascii="Times New Roman Cyr" w:hAnsi="Times New Roman Cyr"/>
                <w:bCs/>
                <w:sz w:val="24"/>
                <w:szCs w:val="24"/>
                <w:lang w:eastAsia="uk-UA"/>
              </w:rPr>
            </w:pPr>
            <w:proofErr w:type="spellStart"/>
            <w:r w:rsidRPr="001E3551">
              <w:rPr>
                <w:rFonts w:ascii="Times New Roman Cyr" w:hAnsi="Times New Roman Cyr"/>
                <w:bCs/>
                <w:sz w:val="24"/>
                <w:szCs w:val="24"/>
                <w:lang w:eastAsia="uk-UA"/>
              </w:rPr>
              <w:t>Універ-сальна</w:t>
            </w:r>
            <w:proofErr w:type="spellEnd"/>
          </w:p>
        </w:tc>
        <w:tc>
          <w:tcPr>
            <w:tcW w:w="648"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109" w:firstLine="64"/>
              <w:jc w:val="center"/>
              <w:rPr>
                <w:rFonts w:ascii="Times New Roman Cyr" w:hAnsi="Times New Roman Cyr"/>
                <w:bCs/>
                <w:sz w:val="24"/>
                <w:szCs w:val="24"/>
                <w:lang w:eastAsia="uk-UA"/>
              </w:rPr>
            </w:pPr>
            <w:r w:rsidRPr="001E3551">
              <w:rPr>
                <w:rFonts w:ascii="Times New Roman Cyr" w:hAnsi="Times New Roman Cyr"/>
                <w:bCs/>
                <w:sz w:val="24"/>
                <w:szCs w:val="24"/>
                <w:lang w:eastAsia="uk-UA"/>
              </w:rPr>
              <w:t>ПФТС</w:t>
            </w:r>
          </w:p>
        </w:tc>
        <w:tc>
          <w:tcPr>
            <w:tcW w:w="575"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109" w:firstLine="64"/>
              <w:jc w:val="center"/>
              <w:rPr>
                <w:rFonts w:ascii="Times New Roman Cyr" w:hAnsi="Times New Roman Cyr"/>
                <w:bCs/>
                <w:sz w:val="24"/>
                <w:szCs w:val="24"/>
                <w:lang w:eastAsia="uk-UA"/>
              </w:rPr>
            </w:pPr>
            <w:r w:rsidRPr="001E3551">
              <w:rPr>
                <w:rFonts w:ascii="Times New Roman Cyr" w:hAnsi="Times New Roman Cyr"/>
                <w:bCs/>
                <w:sz w:val="24"/>
                <w:szCs w:val="24"/>
                <w:lang w:eastAsia="uk-UA"/>
              </w:rPr>
              <w:t>КМФБ</w:t>
            </w:r>
          </w:p>
        </w:tc>
        <w:tc>
          <w:tcPr>
            <w:tcW w:w="647"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109" w:firstLine="64"/>
              <w:jc w:val="center"/>
              <w:rPr>
                <w:rFonts w:ascii="Times New Roman Cyr" w:hAnsi="Times New Roman Cyr"/>
                <w:bCs/>
                <w:sz w:val="24"/>
                <w:szCs w:val="24"/>
                <w:lang w:eastAsia="uk-UA"/>
              </w:rPr>
            </w:pPr>
            <w:proofErr w:type="spellStart"/>
            <w:r w:rsidRPr="001E3551">
              <w:rPr>
                <w:rFonts w:ascii="Times New Roman Cyr" w:hAnsi="Times New Roman Cyr"/>
                <w:bCs/>
                <w:sz w:val="24"/>
                <w:szCs w:val="24"/>
                <w:lang w:eastAsia="uk-UA"/>
              </w:rPr>
              <w:t>Перспек-</w:t>
            </w:r>
            <w:proofErr w:type="spellEnd"/>
            <w:r w:rsidRPr="001E3551">
              <w:rPr>
                <w:rFonts w:ascii="Times New Roman Cyr" w:hAnsi="Times New Roman Cyr"/>
                <w:bCs/>
                <w:sz w:val="24"/>
                <w:szCs w:val="24"/>
                <w:lang w:eastAsia="uk-UA"/>
              </w:rPr>
              <w:t xml:space="preserve">        </w:t>
            </w:r>
            <w:proofErr w:type="spellStart"/>
            <w:r w:rsidRPr="001E3551">
              <w:rPr>
                <w:rFonts w:ascii="Times New Roman Cyr" w:hAnsi="Times New Roman Cyr"/>
                <w:bCs/>
                <w:sz w:val="24"/>
                <w:szCs w:val="24"/>
                <w:lang w:eastAsia="uk-UA"/>
              </w:rPr>
              <w:t>тива</w:t>
            </w:r>
            <w:proofErr w:type="spellEnd"/>
          </w:p>
        </w:tc>
        <w:tc>
          <w:tcPr>
            <w:tcW w:w="576"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109" w:firstLine="64"/>
              <w:jc w:val="center"/>
              <w:rPr>
                <w:rFonts w:ascii="Times New Roman Cyr" w:hAnsi="Times New Roman Cyr"/>
                <w:bCs/>
                <w:sz w:val="24"/>
                <w:szCs w:val="24"/>
                <w:lang w:eastAsia="uk-UA"/>
              </w:rPr>
            </w:pPr>
            <w:r w:rsidRPr="001E3551">
              <w:rPr>
                <w:rFonts w:ascii="Times New Roman Cyr" w:hAnsi="Times New Roman Cyr"/>
                <w:bCs/>
                <w:sz w:val="24"/>
                <w:szCs w:val="24"/>
                <w:lang w:eastAsia="uk-UA"/>
              </w:rPr>
              <w:t>УБ</w:t>
            </w:r>
          </w:p>
        </w:tc>
        <w:tc>
          <w:tcPr>
            <w:tcW w:w="360"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firstLine="288"/>
              <w:jc w:val="center"/>
              <w:rPr>
                <w:rFonts w:ascii="Times New Roman Cyr" w:hAnsi="Times New Roman Cyr"/>
                <w:bCs/>
                <w:sz w:val="24"/>
                <w:szCs w:val="24"/>
                <w:lang w:eastAsia="uk-UA"/>
              </w:rPr>
            </w:pPr>
            <w:r w:rsidRPr="001E3551">
              <w:rPr>
                <w:rFonts w:ascii="Times New Roman Cyr" w:hAnsi="Times New Roman Cyr"/>
                <w:bCs/>
                <w:sz w:val="24"/>
                <w:szCs w:val="24"/>
                <w:lang w:eastAsia="uk-UA"/>
              </w:rPr>
              <w:t>Інші</w:t>
            </w:r>
          </w:p>
        </w:tc>
        <w:tc>
          <w:tcPr>
            <w:tcW w:w="701" w:type="pct"/>
            <w:tcBorders>
              <w:left w:val="single" w:sz="4" w:space="0" w:color="auto"/>
              <w:bottom w:val="single" w:sz="4" w:space="0" w:color="auto"/>
              <w:right w:val="single" w:sz="4" w:space="0" w:color="auto"/>
            </w:tcBorders>
            <w:vAlign w:val="center"/>
          </w:tcPr>
          <w:p w:rsidR="001E3551" w:rsidRPr="001E3551" w:rsidRDefault="001E3551" w:rsidP="00524855">
            <w:pPr>
              <w:spacing w:after="0" w:line="240" w:lineRule="auto"/>
              <w:ind w:left="-288" w:firstLine="288"/>
              <w:jc w:val="center"/>
              <w:rPr>
                <w:rFonts w:ascii="Times New Roman Cyr" w:hAnsi="Times New Roman Cyr"/>
                <w:bCs/>
                <w:sz w:val="24"/>
                <w:szCs w:val="24"/>
                <w:lang w:eastAsia="uk-UA"/>
              </w:rPr>
            </w:pPr>
          </w:p>
        </w:tc>
      </w:tr>
      <w:tr w:rsidR="001E3551" w:rsidRPr="001E3551" w:rsidTr="001E3551">
        <w:trPr>
          <w:trHeight w:val="38"/>
          <w:jc w:val="center"/>
        </w:trPr>
        <w:tc>
          <w:tcPr>
            <w:tcW w:w="630" w:type="pct"/>
            <w:tcBorders>
              <w:top w:val="nil"/>
              <w:left w:val="single" w:sz="4" w:space="0" w:color="auto"/>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firstLine="288"/>
              <w:jc w:val="center"/>
              <w:rPr>
                <w:rFonts w:ascii="Times New Roman Cyr" w:hAnsi="Times New Roman Cyr"/>
                <w:bCs/>
                <w:sz w:val="24"/>
                <w:szCs w:val="24"/>
                <w:lang w:eastAsia="uk-UA"/>
              </w:rPr>
            </w:pPr>
            <w:r w:rsidRPr="001E3551">
              <w:rPr>
                <w:rFonts w:ascii="Times New Roman Cyr" w:hAnsi="Times New Roman Cyr"/>
                <w:bCs/>
                <w:sz w:val="24"/>
                <w:szCs w:val="24"/>
                <w:lang w:eastAsia="uk-UA"/>
              </w:rPr>
              <w:t>Січень</w:t>
            </w:r>
          </w:p>
        </w:tc>
        <w:tc>
          <w:tcPr>
            <w:tcW w:w="360"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lang w:eastAsia="uk-UA"/>
              </w:rPr>
            </w:pPr>
            <w:r w:rsidRPr="001E3551">
              <w:rPr>
                <w:rFonts w:ascii="Times New Roman Cyr" w:hAnsi="Times New Roman Cyr"/>
                <w:bCs/>
                <w:sz w:val="24"/>
                <w:szCs w:val="24"/>
                <w:lang w:eastAsia="uk-UA"/>
              </w:rPr>
              <w:t>2,67</w:t>
            </w:r>
          </w:p>
        </w:tc>
        <w:tc>
          <w:tcPr>
            <w:tcW w:w="503"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lang w:eastAsia="uk-UA"/>
              </w:rPr>
            </w:pPr>
            <w:r w:rsidRPr="001E3551">
              <w:rPr>
                <w:rFonts w:ascii="Times New Roman Cyr" w:hAnsi="Times New Roman Cyr"/>
                <w:bCs/>
                <w:sz w:val="24"/>
                <w:szCs w:val="24"/>
                <w:lang w:eastAsia="uk-UA"/>
              </w:rPr>
              <w:t>2,09</w:t>
            </w:r>
          </w:p>
        </w:tc>
        <w:tc>
          <w:tcPr>
            <w:tcW w:w="648"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lang w:eastAsia="uk-UA"/>
              </w:rPr>
            </w:pPr>
            <w:r w:rsidRPr="001E3551">
              <w:rPr>
                <w:rFonts w:ascii="Times New Roman Cyr" w:hAnsi="Times New Roman Cyr"/>
                <w:bCs/>
                <w:sz w:val="24"/>
                <w:szCs w:val="24"/>
                <w:lang w:eastAsia="uk-UA"/>
              </w:rPr>
              <w:t>863,17</w:t>
            </w:r>
          </w:p>
        </w:tc>
        <w:tc>
          <w:tcPr>
            <w:tcW w:w="575"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lang w:eastAsia="uk-UA"/>
              </w:rPr>
            </w:pPr>
            <w:r w:rsidRPr="001E3551">
              <w:rPr>
                <w:rFonts w:ascii="Times New Roman Cyr" w:hAnsi="Times New Roman Cyr"/>
                <w:bCs/>
                <w:sz w:val="24"/>
                <w:szCs w:val="24"/>
                <w:lang w:eastAsia="uk-UA"/>
              </w:rPr>
              <w:t>131,66</w:t>
            </w:r>
          </w:p>
        </w:tc>
        <w:tc>
          <w:tcPr>
            <w:tcW w:w="647"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lang w:eastAsia="uk-UA"/>
              </w:rPr>
            </w:pPr>
            <w:r w:rsidRPr="001E3551">
              <w:rPr>
                <w:rFonts w:ascii="Times New Roman Cyr" w:hAnsi="Times New Roman Cyr"/>
                <w:bCs/>
                <w:sz w:val="24"/>
                <w:szCs w:val="24"/>
                <w:lang w:eastAsia="uk-UA"/>
              </w:rPr>
              <w:t>12 873,83</w:t>
            </w:r>
          </w:p>
        </w:tc>
        <w:tc>
          <w:tcPr>
            <w:tcW w:w="576"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lang w:eastAsia="uk-UA"/>
              </w:rPr>
            </w:pPr>
            <w:r w:rsidRPr="001E3551">
              <w:rPr>
                <w:rFonts w:ascii="Times New Roman Cyr" w:hAnsi="Times New Roman Cyr"/>
                <w:bCs/>
                <w:sz w:val="24"/>
                <w:szCs w:val="24"/>
                <w:lang w:eastAsia="uk-UA"/>
              </w:rPr>
              <w:t>207,36</w:t>
            </w:r>
          </w:p>
        </w:tc>
        <w:tc>
          <w:tcPr>
            <w:tcW w:w="360"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lang w:eastAsia="uk-UA"/>
              </w:rPr>
            </w:pPr>
            <w:r w:rsidRPr="001E3551">
              <w:rPr>
                <w:rFonts w:ascii="Times New Roman Cyr" w:hAnsi="Times New Roman Cyr"/>
                <w:bCs/>
                <w:sz w:val="24"/>
                <w:szCs w:val="24"/>
                <w:lang w:eastAsia="uk-UA"/>
              </w:rPr>
              <w:t>1,05</w:t>
            </w:r>
          </w:p>
        </w:tc>
        <w:tc>
          <w:tcPr>
            <w:tcW w:w="701" w:type="pct"/>
            <w:tcBorders>
              <w:top w:val="nil"/>
              <w:left w:val="nil"/>
              <w:bottom w:val="single" w:sz="4" w:space="0" w:color="auto"/>
              <w:right w:val="single" w:sz="4" w:space="0" w:color="auto"/>
            </w:tcBorders>
            <w:shd w:val="clear" w:color="auto" w:fill="auto"/>
            <w:noWrap/>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lang w:eastAsia="uk-UA"/>
              </w:rPr>
            </w:pPr>
            <w:r w:rsidRPr="001E3551">
              <w:rPr>
                <w:rFonts w:ascii="Times New Roman Cyr" w:hAnsi="Times New Roman Cyr"/>
                <w:bCs/>
                <w:sz w:val="24"/>
                <w:szCs w:val="24"/>
                <w:lang w:eastAsia="uk-UA"/>
              </w:rPr>
              <w:t>14 081,84</w:t>
            </w:r>
          </w:p>
        </w:tc>
      </w:tr>
      <w:tr w:rsidR="001E3551" w:rsidRPr="001E3551" w:rsidTr="001E3551">
        <w:trPr>
          <w:trHeight w:val="38"/>
          <w:jc w:val="center"/>
        </w:trPr>
        <w:tc>
          <w:tcPr>
            <w:tcW w:w="630" w:type="pct"/>
            <w:tcBorders>
              <w:top w:val="nil"/>
              <w:left w:val="single" w:sz="4" w:space="0" w:color="auto"/>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firstLine="288"/>
              <w:jc w:val="center"/>
              <w:rPr>
                <w:rFonts w:ascii="Times New Roman Cyr" w:hAnsi="Times New Roman Cyr"/>
                <w:bCs/>
                <w:sz w:val="24"/>
                <w:szCs w:val="24"/>
                <w:lang w:eastAsia="uk-UA"/>
              </w:rPr>
            </w:pPr>
            <w:r w:rsidRPr="001E3551">
              <w:rPr>
                <w:rFonts w:ascii="Times New Roman Cyr" w:hAnsi="Times New Roman Cyr"/>
                <w:bCs/>
                <w:sz w:val="24"/>
                <w:szCs w:val="24"/>
                <w:lang w:eastAsia="uk-UA"/>
              </w:rPr>
              <w:t>Лютий</w:t>
            </w:r>
          </w:p>
        </w:tc>
        <w:tc>
          <w:tcPr>
            <w:tcW w:w="360"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2,88</w:t>
            </w:r>
          </w:p>
        </w:tc>
        <w:tc>
          <w:tcPr>
            <w:tcW w:w="503"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color w:val="000000"/>
                <w:sz w:val="24"/>
                <w:szCs w:val="24"/>
              </w:rPr>
            </w:pPr>
            <w:r w:rsidRPr="001E3551">
              <w:rPr>
                <w:rFonts w:ascii="Times New Roman Cyr" w:hAnsi="Times New Roman Cyr"/>
                <w:bCs/>
                <w:color w:val="000000"/>
                <w:sz w:val="24"/>
                <w:szCs w:val="24"/>
              </w:rPr>
              <w:t>2,517</w:t>
            </w:r>
          </w:p>
        </w:tc>
        <w:tc>
          <w:tcPr>
            <w:tcW w:w="648"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3 003,65</w:t>
            </w:r>
          </w:p>
        </w:tc>
        <w:tc>
          <w:tcPr>
            <w:tcW w:w="575"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289,93</w:t>
            </w:r>
          </w:p>
        </w:tc>
        <w:tc>
          <w:tcPr>
            <w:tcW w:w="647"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11 814,05</w:t>
            </w:r>
          </w:p>
        </w:tc>
        <w:tc>
          <w:tcPr>
            <w:tcW w:w="576"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271,05</w:t>
            </w:r>
          </w:p>
        </w:tc>
        <w:tc>
          <w:tcPr>
            <w:tcW w:w="360"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1,26</w:t>
            </w:r>
          </w:p>
        </w:tc>
        <w:tc>
          <w:tcPr>
            <w:tcW w:w="701" w:type="pct"/>
            <w:tcBorders>
              <w:top w:val="nil"/>
              <w:left w:val="nil"/>
              <w:bottom w:val="single" w:sz="4" w:space="0" w:color="auto"/>
              <w:right w:val="single" w:sz="4" w:space="0" w:color="auto"/>
            </w:tcBorders>
            <w:shd w:val="clear" w:color="auto" w:fill="auto"/>
            <w:noWrap/>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15 385,34</w:t>
            </w:r>
          </w:p>
        </w:tc>
      </w:tr>
      <w:tr w:rsidR="001E3551" w:rsidRPr="001E3551" w:rsidTr="001E3551">
        <w:trPr>
          <w:trHeight w:val="38"/>
          <w:jc w:val="center"/>
        </w:trPr>
        <w:tc>
          <w:tcPr>
            <w:tcW w:w="630" w:type="pct"/>
            <w:tcBorders>
              <w:top w:val="nil"/>
              <w:left w:val="single" w:sz="4" w:space="0" w:color="auto"/>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firstLine="288"/>
              <w:jc w:val="center"/>
              <w:rPr>
                <w:rFonts w:ascii="Times New Roman Cyr" w:hAnsi="Times New Roman Cyr"/>
                <w:bCs/>
                <w:sz w:val="24"/>
                <w:szCs w:val="24"/>
                <w:lang w:eastAsia="uk-UA"/>
              </w:rPr>
            </w:pPr>
            <w:r w:rsidRPr="001E3551">
              <w:rPr>
                <w:rFonts w:ascii="Times New Roman Cyr" w:hAnsi="Times New Roman Cyr"/>
                <w:bCs/>
                <w:sz w:val="24"/>
                <w:szCs w:val="24"/>
                <w:lang w:eastAsia="uk-UA"/>
              </w:rPr>
              <w:t>Березень</w:t>
            </w:r>
          </w:p>
        </w:tc>
        <w:tc>
          <w:tcPr>
            <w:tcW w:w="360"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10,21</w:t>
            </w:r>
          </w:p>
        </w:tc>
        <w:tc>
          <w:tcPr>
            <w:tcW w:w="503"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5,53</w:t>
            </w:r>
          </w:p>
        </w:tc>
        <w:tc>
          <w:tcPr>
            <w:tcW w:w="648"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5 780,12</w:t>
            </w:r>
          </w:p>
        </w:tc>
        <w:tc>
          <w:tcPr>
            <w:tcW w:w="575"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219,56</w:t>
            </w:r>
          </w:p>
        </w:tc>
        <w:tc>
          <w:tcPr>
            <w:tcW w:w="647"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12 228,91</w:t>
            </w:r>
          </w:p>
        </w:tc>
        <w:tc>
          <w:tcPr>
            <w:tcW w:w="576"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299,34</w:t>
            </w:r>
          </w:p>
        </w:tc>
        <w:tc>
          <w:tcPr>
            <w:tcW w:w="360"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0,03</w:t>
            </w:r>
          </w:p>
        </w:tc>
        <w:tc>
          <w:tcPr>
            <w:tcW w:w="701" w:type="pct"/>
            <w:tcBorders>
              <w:top w:val="nil"/>
              <w:left w:val="nil"/>
              <w:bottom w:val="single" w:sz="4" w:space="0" w:color="auto"/>
              <w:right w:val="single" w:sz="4" w:space="0" w:color="auto"/>
            </w:tcBorders>
            <w:shd w:val="clear" w:color="auto" w:fill="auto"/>
            <w:noWrap/>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18 543,70</w:t>
            </w:r>
          </w:p>
        </w:tc>
      </w:tr>
      <w:tr w:rsidR="001E3551" w:rsidRPr="001E3551" w:rsidTr="001E3551">
        <w:trPr>
          <w:trHeight w:val="38"/>
          <w:jc w:val="center"/>
        </w:trPr>
        <w:tc>
          <w:tcPr>
            <w:tcW w:w="630" w:type="pct"/>
            <w:tcBorders>
              <w:top w:val="nil"/>
              <w:left w:val="single" w:sz="4" w:space="0" w:color="auto"/>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firstLine="288"/>
              <w:jc w:val="center"/>
              <w:rPr>
                <w:rFonts w:ascii="Times New Roman Cyr" w:hAnsi="Times New Roman Cyr"/>
                <w:bCs/>
                <w:sz w:val="24"/>
                <w:szCs w:val="24"/>
                <w:lang w:eastAsia="uk-UA"/>
              </w:rPr>
            </w:pPr>
            <w:r w:rsidRPr="001E3551">
              <w:rPr>
                <w:rFonts w:ascii="Times New Roman Cyr" w:hAnsi="Times New Roman Cyr"/>
                <w:bCs/>
                <w:sz w:val="24"/>
                <w:szCs w:val="24"/>
                <w:lang w:eastAsia="uk-UA"/>
              </w:rPr>
              <w:t>Квітень</w:t>
            </w:r>
          </w:p>
        </w:tc>
        <w:tc>
          <w:tcPr>
            <w:tcW w:w="360"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0,81</w:t>
            </w:r>
          </w:p>
        </w:tc>
        <w:tc>
          <w:tcPr>
            <w:tcW w:w="503"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3,51</w:t>
            </w:r>
          </w:p>
        </w:tc>
        <w:tc>
          <w:tcPr>
            <w:tcW w:w="648"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9 412,15</w:t>
            </w:r>
          </w:p>
        </w:tc>
        <w:tc>
          <w:tcPr>
            <w:tcW w:w="575"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49,41</w:t>
            </w:r>
          </w:p>
        </w:tc>
        <w:tc>
          <w:tcPr>
            <w:tcW w:w="647"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13 308,26</w:t>
            </w:r>
          </w:p>
        </w:tc>
        <w:tc>
          <w:tcPr>
            <w:tcW w:w="576"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243,85</w:t>
            </w:r>
          </w:p>
        </w:tc>
        <w:tc>
          <w:tcPr>
            <w:tcW w:w="360"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21,61</w:t>
            </w:r>
          </w:p>
        </w:tc>
        <w:tc>
          <w:tcPr>
            <w:tcW w:w="701" w:type="pct"/>
            <w:tcBorders>
              <w:top w:val="nil"/>
              <w:left w:val="nil"/>
              <w:bottom w:val="single" w:sz="4" w:space="0" w:color="auto"/>
              <w:right w:val="single" w:sz="4" w:space="0" w:color="auto"/>
            </w:tcBorders>
            <w:shd w:val="clear" w:color="auto" w:fill="auto"/>
            <w:noWrap/>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23 039,60</w:t>
            </w:r>
          </w:p>
        </w:tc>
      </w:tr>
      <w:tr w:rsidR="001E3551" w:rsidRPr="001E3551" w:rsidTr="001E3551">
        <w:trPr>
          <w:trHeight w:val="38"/>
          <w:jc w:val="center"/>
        </w:trPr>
        <w:tc>
          <w:tcPr>
            <w:tcW w:w="630" w:type="pct"/>
            <w:tcBorders>
              <w:top w:val="nil"/>
              <w:left w:val="single" w:sz="4" w:space="0" w:color="auto"/>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firstLine="288"/>
              <w:jc w:val="center"/>
              <w:rPr>
                <w:rFonts w:ascii="Times New Roman Cyr" w:hAnsi="Times New Roman Cyr"/>
                <w:bCs/>
                <w:sz w:val="24"/>
                <w:szCs w:val="24"/>
                <w:lang w:eastAsia="uk-UA"/>
              </w:rPr>
            </w:pPr>
            <w:r w:rsidRPr="001E3551">
              <w:rPr>
                <w:rFonts w:ascii="Times New Roman Cyr" w:hAnsi="Times New Roman Cyr"/>
                <w:bCs/>
                <w:sz w:val="24"/>
                <w:szCs w:val="24"/>
                <w:lang w:eastAsia="uk-UA"/>
              </w:rPr>
              <w:t>Травень</w:t>
            </w:r>
          </w:p>
        </w:tc>
        <w:tc>
          <w:tcPr>
            <w:tcW w:w="360"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0,06</w:t>
            </w:r>
          </w:p>
        </w:tc>
        <w:tc>
          <w:tcPr>
            <w:tcW w:w="503"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0,72</w:t>
            </w:r>
          </w:p>
        </w:tc>
        <w:tc>
          <w:tcPr>
            <w:tcW w:w="648"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6 728,60</w:t>
            </w:r>
          </w:p>
        </w:tc>
        <w:tc>
          <w:tcPr>
            <w:tcW w:w="575"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339,26</w:t>
            </w:r>
          </w:p>
        </w:tc>
        <w:tc>
          <w:tcPr>
            <w:tcW w:w="647"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7 051,17</w:t>
            </w:r>
          </w:p>
        </w:tc>
        <w:tc>
          <w:tcPr>
            <w:tcW w:w="576"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174,92</w:t>
            </w:r>
          </w:p>
        </w:tc>
        <w:tc>
          <w:tcPr>
            <w:tcW w:w="360"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0,00</w:t>
            </w:r>
          </w:p>
        </w:tc>
        <w:tc>
          <w:tcPr>
            <w:tcW w:w="701" w:type="pct"/>
            <w:tcBorders>
              <w:top w:val="nil"/>
              <w:left w:val="nil"/>
              <w:bottom w:val="single" w:sz="4" w:space="0" w:color="auto"/>
              <w:right w:val="single" w:sz="4" w:space="0" w:color="auto"/>
            </w:tcBorders>
            <w:shd w:val="clear" w:color="auto" w:fill="auto"/>
            <w:noWrap/>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14 294,72</w:t>
            </w:r>
          </w:p>
        </w:tc>
      </w:tr>
      <w:tr w:rsidR="001E3551" w:rsidRPr="001E3551" w:rsidTr="001E3551">
        <w:trPr>
          <w:trHeight w:val="38"/>
          <w:jc w:val="center"/>
        </w:trPr>
        <w:tc>
          <w:tcPr>
            <w:tcW w:w="630" w:type="pct"/>
            <w:tcBorders>
              <w:top w:val="nil"/>
              <w:left w:val="single" w:sz="4" w:space="0" w:color="auto"/>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firstLine="288"/>
              <w:jc w:val="center"/>
              <w:rPr>
                <w:rFonts w:ascii="Times New Roman Cyr" w:hAnsi="Times New Roman Cyr"/>
                <w:bCs/>
                <w:sz w:val="24"/>
                <w:szCs w:val="24"/>
                <w:lang w:eastAsia="uk-UA"/>
              </w:rPr>
            </w:pPr>
            <w:r w:rsidRPr="001E3551">
              <w:rPr>
                <w:rFonts w:ascii="Times New Roman Cyr" w:hAnsi="Times New Roman Cyr"/>
                <w:bCs/>
                <w:sz w:val="24"/>
                <w:szCs w:val="24"/>
                <w:lang w:eastAsia="uk-UA"/>
              </w:rPr>
              <w:t>Червень</w:t>
            </w:r>
          </w:p>
        </w:tc>
        <w:tc>
          <w:tcPr>
            <w:tcW w:w="360"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0,28</w:t>
            </w:r>
          </w:p>
        </w:tc>
        <w:tc>
          <w:tcPr>
            <w:tcW w:w="503"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0,36</w:t>
            </w:r>
          </w:p>
        </w:tc>
        <w:tc>
          <w:tcPr>
            <w:tcW w:w="648"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14 901,26</w:t>
            </w:r>
          </w:p>
        </w:tc>
        <w:tc>
          <w:tcPr>
            <w:tcW w:w="575"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208,13</w:t>
            </w:r>
          </w:p>
        </w:tc>
        <w:tc>
          <w:tcPr>
            <w:tcW w:w="647"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8 825,79</w:t>
            </w:r>
          </w:p>
        </w:tc>
        <w:tc>
          <w:tcPr>
            <w:tcW w:w="576"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270,57</w:t>
            </w:r>
          </w:p>
        </w:tc>
        <w:tc>
          <w:tcPr>
            <w:tcW w:w="360"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1,29</w:t>
            </w:r>
          </w:p>
        </w:tc>
        <w:tc>
          <w:tcPr>
            <w:tcW w:w="701" w:type="pct"/>
            <w:tcBorders>
              <w:top w:val="nil"/>
              <w:left w:val="nil"/>
              <w:bottom w:val="single" w:sz="4" w:space="0" w:color="auto"/>
              <w:right w:val="single" w:sz="4" w:space="0" w:color="auto"/>
            </w:tcBorders>
            <w:shd w:val="clear" w:color="auto" w:fill="auto"/>
            <w:noWrap/>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24 207,68</w:t>
            </w:r>
          </w:p>
        </w:tc>
      </w:tr>
      <w:tr w:rsidR="001E3551" w:rsidRPr="001E3551" w:rsidTr="001E3551">
        <w:trPr>
          <w:trHeight w:val="38"/>
          <w:jc w:val="center"/>
        </w:trPr>
        <w:tc>
          <w:tcPr>
            <w:tcW w:w="630" w:type="pct"/>
            <w:tcBorders>
              <w:top w:val="nil"/>
              <w:left w:val="single" w:sz="4" w:space="0" w:color="auto"/>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firstLine="288"/>
              <w:jc w:val="center"/>
              <w:rPr>
                <w:rFonts w:ascii="Times New Roman Cyr" w:hAnsi="Times New Roman Cyr"/>
                <w:bCs/>
                <w:sz w:val="24"/>
                <w:szCs w:val="24"/>
                <w:lang w:eastAsia="uk-UA"/>
              </w:rPr>
            </w:pPr>
            <w:r w:rsidRPr="001E3551">
              <w:rPr>
                <w:rFonts w:ascii="Times New Roman Cyr" w:hAnsi="Times New Roman Cyr"/>
                <w:bCs/>
                <w:sz w:val="24"/>
                <w:szCs w:val="24"/>
                <w:lang w:eastAsia="uk-UA"/>
              </w:rPr>
              <w:t>Липень</w:t>
            </w:r>
          </w:p>
        </w:tc>
        <w:tc>
          <w:tcPr>
            <w:tcW w:w="360"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0,31</w:t>
            </w:r>
          </w:p>
        </w:tc>
        <w:tc>
          <w:tcPr>
            <w:tcW w:w="503"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color w:val="000000"/>
                <w:sz w:val="24"/>
                <w:szCs w:val="24"/>
              </w:rPr>
            </w:pPr>
            <w:r w:rsidRPr="001E3551">
              <w:rPr>
                <w:rFonts w:ascii="Times New Roman Cyr" w:hAnsi="Times New Roman Cyr"/>
                <w:bCs/>
                <w:color w:val="000000"/>
                <w:sz w:val="24"/>
                <w:szCs w:val="24"/>
              </w:rPr>
              <w:t>0,65</w:t>
            </w:r>
          </w:p>
        </w:tc>
        <w:tc>
          <w:tcPr>
            <w:tcW w:w="648"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8 915,93</w:t>
            </w:r>
          </w:p>
        </w:tc>
        <w:tc>
          <w:tcPr>
            <w:tcW w:w="575"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263,59</w:t>
            </w:r>
          </w:p>
        </w:tc>
        <w:tc>
          <w:tcPr>
            <w:tcW w:w="647"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10 938,27</w:t>
            </w:r>
          </w:p>
        </w:tc>
        <w:tc>
          <w:tcPr>
            <w:tcW w:w="576"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color w:val="000000"/>
                <w:sz w:val="24"/>
                <w:szCs w:val="24"/>
              </w:rPr>
            </w:pPr>
            <w:r w:rsidRPr="001E3551">
              <w:rPr>
                <w:rFonts w:ascii="Times New Roman Cyr" w:hAnsi="Times New Roman Cyr"/>
                <w:bCs/>
                <w:color w:val="000000"/>
                <w:sz w:val="24"/>
                <w:szCs w:val="24"/>
              </w:rPr>
              <w:t>324,41</w:t>
            </w:r>
          </w:p>
        </w:tc>
        <w:tc>
          <w:tcPr>
            <w:tcW w:w="360"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color w:val="000000"/>
                <w:sz w:val="24"/>
                <w:szCs w:val="24"/>
              </w:rPr>
            </w:pPr>
            <w:r w:rsidRPr="001E3551">
              <w:rPr>
                <w:rFonts w:ascii="Times New Roman Cyr" w:hAnsi="Times New Roman Cyr"/>
                <w:bCs/>
                <w:color w:val="000000"/>
                <w:sz w:val="24"/>
                <w:szCs w:val="24"/>
              </w:rPr>
              <w:t>0,05</w:t>
            </w:r>
          </w:p>
        </w:tc>
        <w:tc>
          <w:tcPr>
            <w:tcW w:w="701" w:type="pct"/>
            <w:tcBorders>
              <w:top w:val="nil"/>
              <w:left w:val="nil"/>
              <w:bottom w:val="single" w:sz="4" w:space="0" w:color="auto"/>
              <w:right w:val="single" w:sz="4" w:space="0" w:color="auto"/>
            </w:tcBorders>
            <w:shd w:val="clear" w:color="auto" w:fill="auto"/>
            <w:noWrap/>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20 443,22</w:t>
            </w:r>
          </w:p>
        </w:tc>
      </w:tr>
      <w:tr w:rsidR="001E3551" w:rsidRPr="001E3551" w:rsidTr="001E3551">
        <w:trPr>
          <w:trHeight w:val="38"/>
          <w:jc w:val="center"/>
        </w:trPr>
        <w:tc>
          <w:tcPr>
            <w:tcW w:w="630" w:type="pct"/>
            <w:tcBorders>
              <w:top w:val="nil"/>
              <w:left w:val="single" w:sz="4" w:space="0" w:color="auto"/>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firstLine="288"/>
              <w:jc w:val="center"/>
              <w:rPr>
                <w:rFonts w:ascii="Times New Roman Cyr" w:hAnsi="Times New Roman Cyr"/>
                <w:bCs/>
                <w:sz w:val="24"/>
                <w:szCs w:val="24"/>
                <w:lang w:eastAsia="uk-UA"/>
              </w:rPr>
            </w:pPr>
            <w:r w:rsidRPr="001E3551">
              <w:rPr>
                <w:rFonts w:ascii="Times New Roman Cyr" w:hAnsi="Times New Roman Cyr"/>
                <w:bCs/>
                <w:sz w:val="24"/>
                <w:szCs w:val="24"/>
                <w:lang w:eastAsia="uk-UA"/>
              </w:rPr>
              <w:t>Серпень</w:t>
            </w:r>
          </w:p>
        </w:tc>
        <w:tc>
          <w:tcPr>
            <w:tcW w:w="360"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0,08</w:t>
            </w:r>
          </w:p>
        </w:tc>
        <w:tc>
          <w:tcPr>
            <w:tcW w:w="503"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1,02</w:t>
            </w:r>
          </w:p>
        </w:tc>
        <w:tc>
          <w:tcPr>
            <w:tcW w:w="648"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11 086,95</w:t>
            </w:r>
          </w:p>
        </w:tc>
        <w:tc>
          <w:tcPr>
            <w:tcW w:w="575"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171,78</w:t>
            </w:r>
          </w:p>
        </w:tc>
        <w:tc>
          <w:tcPr>
            <w:tcW w:w="647"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color w:val="000000"/>
                <w:sz w:val="24"/>
                <w:szCs w:val="24"/>
              </w:rPr>
            </w:pPr>
            <w:r w:rsidRPr="001E3551">
              <w:rPr>
                <w:rFonts w:ascii="Times New Roman Cyr" w:hAnsi="Times New Roman Cyr"/>
                <w:bCs/>
                <w:color w:val="000000"/>
                <w:sz w:val="24"/>
                <w:szCs w:val="24"/>
              </w:rPr>
              <w:t>7 068,91</w:t>
            </w:r>
          </w:p>
        </w:tc>
        <w:tc>
          <w:tcPr>
            <w:tcW w:w="576"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272,91</w:t>
            </w:r>
          </w:p>
        </w:tc>
        <w:tc>
          <w:tcPr>
            <w:tcW w:w="360"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0,06</w:t>
            </w:r>
          </w:p>
        </w:tc>
        <w:tc>
          <w:tcPr>
            <w:tcW w:w="701" w:type="pct"/>
            <w:tcBorders>
              <w:top w:val="nil"/>
              <w:left w:val="nil"/>
              <w:bottom w:val="single" w:sz="4" w:space="0" w:color="auto"/>
              <w:right w:val="single" w:sz="4" w:space="0" w:color="auto"/>
            </w:tcBorders>
            <w:shd w:val="clear" w:color="auto" w:fill="auto"/>
            <w:noWrap/>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18 601,64</w:t>
            </w:r>
          </w:p>
        </w:tc>
      </w:tr>
      <w:tr w:rsidR="001E3551" w:rsidRPr="001E3551" w:rsidTr="001E3551">
        <w:trPr>
          <w:trHeight w:val="38"/>
          <w:jc w:val="center"/>
        </w:trPr>
        <w:tc>
          <w:tcPr>
            <w:tcW w:w="630" w:type="pct"/>
            <w:tcBorders>
              <w:top w:val="nil"/>
              <w:left w:val="single" w:sz="4" w:space="0" w:color="auto"/>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firstLine="288"/>
              <w:jc w:val="center"/>
              <w:rPr>
                <w:rFonts w:ascii="Times New Roman Cyr" w:hAnsi="Times New Roman Cyr"/>
                <w:bCs/>
                <w:sz w:val="24"/>
                <w:szCs w:val="24"/>
                <w:lang w:val="ru-RU" w:eastAsia="uk-UA"/>
              </w:rPr>
            </w:pPr>
            <w:proofErr w:type="spellStart"/>
            <w:r w:rsidRPr="001E3551">
              <w:rPr>
                <w:rFonts w:ascii="Times New Roman Cyr" w:hAnsi="Times New Roman Cyr"/>
                <w:bCs/>
                <w:sz w:val="24"/>
                <w:szCs w:val="24"/>
                <w:lang w:val="ru-RU" w:eastAsia="uk-UA"/>
              </w:rPr>
              <w:t>Вересень</w:t>
            </w:r>
            <w:proofErr w:type="spellEnd"/>
          </w:p>
        </w:tc>
        <w:tc>
          <w:tcPr>
            <w:tcW w:w="360"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0,09</w:t>
            </w:r>
          </w:p>
        </w:tc>
        <w:tc>
          <w:tcPr>
            <w:tcW w:w="503"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1,21</w:t>
            </w:r>
          </w:p>
        </w:tc>
        <w:tc>
          <w:tcPr>
            <w:tcW w:w="648"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9 328,45</w:t>
            </w:r>
          </w:p>
        </w:tc>
        <w:tc>
          <w:tcPr>
            <w:tcW w:w="575"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0,00</w:t>
            </w:r>
          </w:p>
        </w:tc>
        <w:tc>
          <w:tcPr>
            <w:tcW w:w="647"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10 364,92</w:t>
            </w:r>
          </w:p>
        </w:tc>
        <w:tc>
          <w:tcPr>
            <w:tcW w:w="576"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412,81</w:t>
            </w:r>
          </w:p>
        </w:tc>
        <w:tc>
          <w:tcPr>
            <w:tcW w:w="360"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15,44</w:t>
            </w:r>
          </w:p>
        </w:tc>
        <w:tc>
          <w:tcPr>
            <w:tcW w:w="701" w:type="pct"/>
            <w:tcBorders>
              <w:top w:val="nil"/>
              <w:left w:val="nil"/>
              <w:bottom w:val="single" w:sz="4" w:space="0" w:color="auto"/>
              <w:right w:val="single" w:sz="4" w:space="0" w:color="auto"/>
            </w:tcBorders>
            <w:shd w:val="clear" w:color="auto" w:fill="auto"/>
            <w:noWrap/>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20 122,92</w:t>
            </w:r>
          </w:p>
        </w:tc>
      </w:tr>
      <w:tr w:rsidR="001E3551" w:rsidRPr="001E3551" w:rsidTr="001E3551">
        <w:trPr>
          <w:trHeight w:val="38"/>
          <w:jc w:val="center"/>
        </w:trPr>
        <w:tc>
          <w:tcPr>
            <w:tcW w:w="630" w:type="pct"/>
            <w:tcBorders>
              <w:top w:val="nil"/>
              <w:left w:val="single" w:sz="4" w:space="0" w:color="auto"/>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firstLine="288"/>
              <w:jc w:val="center"/>
              <w:rPr>
                <w:rFonts w:ascii="Times New Roman Cyr" w:hAnsi="Times New Roman Cyr"/>
                <w:bCs/>
                <w:sz w:val="24"/>
                <w:szCs w:val="24"/>
                <w:lang w:val="ru-RU" w:eastAsia="uk-UA"/>
              </w:rPr>
            </w:pPr>
            <w:proofErr w:type="spellStart"/>
            <w:r w:rsidRPr="001E3551">
              <w:rPr>
                <w:rFonts w:ascii="Times New Roman Cyr" w:hAnsi="Times New Roman Cyr"/>
                <w:bCs/>
                <w:sz w:val="24"/>
                <w:szCs w:val="24"/>
                <w:lang w:val="ru-RU" w:eastAsia="uk-UA"/>
              </w:rPr>
              <w:t>Жовтень</w:t>
            </w:r>
            <w:proofErr w:type="spellEnd"/>
          </w:p>
        </w:tc>
        <w:tc>
          <w:tcPr>
            <w:tcW w:w="360"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0,32</w:t>
            </w:r>
          </w:p>
        </w:tc>
        <w:tc>
          <w:tcPr>
            <w:tcW w:w="503"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color w:val="000000"/>
                <w:sz w:val="24"/>
                <w:szCs w:val="24"/>
              </w:rPr>
            </w:pPr>
            <w:r w:rsidRPr="001E3551">
              <w:rPr>
                <w:rFonts w:ascii="Times New Roman Cyr" w:hAnsi="Times New Roman Cyr"/>
                <w:bCs/>
                <w:color w:val="000000"/>
                <w:sz w:val="24"/>
                <w:szCs w:val="24"/>
              </w:rPr>
              <w:t>36,70</w:t>
            </w:r>
          </w:p>
        </w:tc>
        <w:tc>
          <w:tcPr>
            <w:tcW w:w="648"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10 046,18</w:t>
            </w:r>
          </w:p>
        </w:tc>
        <w:tc>
          <w:tcPr>
            <w:tcW w:w="575"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0,00</w:t>
            </w:r>
          </w:p>
        </w:tc>
        <w:tc>
          <w:tcPr>
            <w:tcW w:w="647"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10 092,68</w:t>
            </w:r>
          </w:p>
        </w:tc>
        <w:tc>
          <w:tcPr>
            <w:tcW w:w="576"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298,83</w:t>
            </w:r>
          </w:p>
        </w:tc>
        <w:tc>
          <w:tcPr>
            <w:tcW w:w="360" w:type="pct"/>
            <w:tcBorders>
              <w:top w:val="nil"/>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0,32</w:t>
            </w:r>
          </w:p>
        </w:tc>
        <w:tc>
          <w:tcPr>
            <w:tcW w:w="701" w:type="pct"/>
            <w:tcBorders>
              <w:top w:val="nil"/>
              <w:left w:val="nil"/>
              <w:bottom w:val="single" w:sz="4" w:space="0" w:color="auto"/>
              <w:right w:val="single" w:sz="4" w:space="0" w:color="auto"/>
            </w:tcBorders>
            <w:shd w:val="clear" w:color="auto" w:fill="auto"/>
            <w:noWrap/>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20 474,72</w:t>
            </w:r>
          </w:p>
        </w:tc>
      </w:tr>
      <w:tr w:rsidR="001E3551" w:rsidRPr="001E3551" w:rsidTr="001E3551">
        <w:trPr>
          <w:trHeight w:val="38"/>
          <w:jc w:val="center"/>
        </w:trPr>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firstLine="288"/>
              <w:jc w:val="center"/>
              <w:rPr>
                <w:rFonts w:ascii="Times New Roman Cyr" w:hAnsi="Times New Roman Cyr"/>
                <w:bCs/>
                <w:sz w:val="24"/>
                <w:szCs w:val="24"/>
                <w:lang w:eastAsia="uk-UA"/>
              </w:rPr>
            </w:pPr>
            <w:r w:rsidRPr="001E3551">
              <w:rPr>
                <w:rFonts w:ascii="Times New Roman Cyr" w:hAnsi="Times New Roman Cyr"/>
                <w:bCs/>
                <w:sz w:val="24"/>
                <w:szCs w:val="24"/>
              </w:rPr>
              <w:t>Усього</w:t>
            </w:r>
          </w:p>
        </w:tc>
        <w:tc>
          <w:tcPr>
            <w:tcW w:w="360" w:type="pct"/>
            <w:tcBorders>
              <w:top w:val="single" w:sz="4" w:space="0" w:color="auto"/>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17,71</w:t>
            </w:r>
          </w:p>
        </w:tc>
        <w:tc>
          <w:tcPr>
            <w:tcW w:w="503" w:type="pct"/>
            <w:tcBorders>
              <w:top w:val="single" w:sz="4" w:space="0" w:color="auto"/>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54,32</w:t>
            </w:r>
          </w:p>
        </w:tc>
        <w:tc>
          <w:tcPr>
            <w:tcW w:w="648" w:type="pct"/>
            <w:tcBorders>
              <w:top w:val="single" w:sz="4" w:space="0" w:color="auto"/>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80 066,48</w:t>
            </w:r>
          </w:p>
        </w:tc>
        <w:tc>
          <w:tcPr>
            <w:tcW w:w="575" w:type="pct"/>
            <w:tcBorders>
              <w:top w:val="single" w:sz="4" w:space="0" w:color="auto"/>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1 673,32</w:t>
            </w:r>
          </w:p>
        </w:tc>
        <w:tc>
          <w:tcPr>
            <w:tcW w:w="647" w:type="pct"/>
            <w:tcBorders>
              <w:top w:val="single" w:sz="4" w:space="0" w:color="auto"/>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104 566,80</w:t>
            </w:r>
          </w:p>
        </w:tc>
        <w:tc>
          <w:tcPr>
            <w:tcW w:w="576" w:type="pct"/>
            <w:tcBorders>
              <w:top w:val="single" w:sz="4" w:space="0" w:color="auto"/>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2 776,03</w:t>
            </w:r>
          </w:p>
        </w:tc>
        <w:tc>
          <w:tcPr>
            <w:tcW w:w="360" w:type="pct"/>
            <w:tcBorders>
              <w:top w:val="single" w:sz="4" w:space="0" w:color="auto"/>
              <w:left w:val="nil"/>
              <w:bottom w:val="single" w:sz="4" w:space="0" w:color="auto"/>
              <w:right w:val="single" w:sz="4" w:space="0" w:color="auto"/>
            </w:tcBorders>
            <w:shd w:val="clear" w:color="auto" w:fill="auto"/>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40,73</w:t>
            </w:r>
          </w:p>
        </w:tc>
        <w:tc>
          <w:tcPr>
            <w:tcW w:w="701" w:type="pct"/>
            <w:tcBorders>
              <w:top w:val="single" w:sz="4" w:space="0" w:color="auto"/>
              <w:left w:val="nil"/>
              <w:bottom w:val="single" w:sz="4" w:space="0" w:color="auto"/>
              <w:right w:val="single" w:sz="4" w:space="0" w:color="auto"/>
            </w:tcBorders>
            <w:shd w:val="clear" w:color="auto" w:fill="auto"/>
            <w:noWrap/>
            <w:vAlign w:val="center"/>
          </w:tcPr>
          <w:p w:rsidR="001E3551" w:rsidRPr="001E3551" w:rsidRDefault="001E3551" w:rsidP="00524855">
            <w:pPr>
              <w:spacing w:after="0" w:line="240" w:lineRule="auto"/>
              <w:ind w:left="-288" w:right="-99" w:firstLine="288"/>
              <w:jc w:val="center"/>
              <w:rPr>
                <w:rFonts w:ascii="Times New Roman Cyr" w:hAnsi="Times New Roman Cyr"/>
                <w:bCs/>
                <w:sz w:val="24"/>
                <w:szCs w:val="24"/>
              </w:rPr>
            </w:pPr>
            <w:r w:rsidRPr="001E3551">
              <w:rPr>
                <w:rFonts w:ascii="Times New Roman Cyr" w:hAnsi="Times New Roman Cyr"/>
                <w:bCs/>
                <w:sz w:val="24"/>
                <w:szCs w:val="24"/>
              </w:rPr>
              <w:t>189 195,38</w:t>
            </w:r>
          </w:p>
        </w:tc>
      </w:tr>
    </w:tbl>
    <w:p w:rsidR="001E3551" w:rsidRPr="001E3551" w:rsidRDefault="001E3551" w:rsidP="00524855">
      <w:pPr>
        <w:spacing w:after="0" w:line="240" w:lineRule="auto"/>
        <w:ind w:left="480"/>
        <w:contextualSpacing/>
        <w:rPr>
          <w:rFonts w:ascii="Times New Roman" w:hAnsi="Times New Roman"/>
          <w:sz w:val="24"/>
          <w:szCs w:val="24"/>
          <w:shd w:val="clear" w:color="auto" w:fill="FFFFFF"/>
        </w:rPr>
      </w:pPr>
      <w:r w:rsidRPr="001E3551">
        <w:rPr>
          <w:rFonts w:ascii="Times New Roman" w:hAnsi="Times New Roman"/>
          <w:sz w:val="24"/>
          <w:szCs w:val="24"/>
          <w:shd w:val="clear" w:color="auto" w:fill="FFFFFF"/>
        </w:rPr>
        <w:t xml:space="preserve">* За даними </w:t>
      </w:r>
      <w:r w:rsidRPr="001E3551">
        <w:rPr>
          <w:rFonts w:ascii="Times New Roman" w:hAnsi="Times New Roman"/>
          <w:sz w:val="24"/>
          <w:szCs w:val="24"/>
          <w:shd w:val="clear" w:color="auto" w:fill="FFFFFF"/>
          <w:lang w:val="ru-RU"/>
        </w:rPr>
        <w:t>[</w:t>
      </w:r>
      <w:r w:rsidRPr="001E3551">
        <w:rPr>
          <w:rFonts w:ascii="Times New Roman" w:hAnsi="Times New Roman"/>
          <w:sz w:val="24"/>
          <w:szCs w:val="24"/>
          <w:shd w:val="clear" w:color="auto" w:fill="FFFFFF"/>
        </w:rPr>
        <w:t>7</w:t>
      </w:r>
      <w:r w:rsidRPr="001E3551">
        <w:rPr>
          <w:rFonts w:ascii="Times New Roman" w:hAnsi="Times New Roman"/>
          <w:sz w:val="24"/>
          <w:szCs w:val="24"/>
          <w:shd w:val="clear" w:color="auto" w:fill="FFFFFF"/>
          <w:lang w:val="ru-RU"/>
        </w:rPr>
        <w:t>]</w:t>
      </w:r>
    </w:p>
    <w:p w:rsidR="001E3551" w:rsidRPr="001E3551" w:rsidRDefault="00365866" w:rsidP="00365866">
      <w:pPr>
        <w:tabs>
          <w:tab w:val="left" w:pos="851"/>
        </w:tabs>
        <w:spacing w:after="0" w:line="240" w:lineRule="auto"/>
        <w:ind w:firstLine="567"/>
        <w:jc w:val="both"/>
        <w:rPr>
          <w:rFonts w:ascii="Times New Roman" w:hAnsi="Times New Roman"/>
          <w:sz w:val="28"/>
          <w:szCs w:val="28"/>
          <w:shd w:val="clear" w:color="auto" w:fill="FFFFFF"/>
        </w:rPr>
      </w:pPr>
      <w:r w:rsidRPr="00365866">
        <w:rPr>
          <w:rFonts w:ascii="Times New Roman" w:hAnsi="Times New Roman"/>
          <w:sz w:val="28"/>
          <w:szCs w:val="28"/>
          <w:shd w:val="clear" w:color="auto" w:fill="FFFFFF"/>
        </w:rPr>
        <w:lastRenderedPageBreak/>
        <w:t xml:space="preserve">З даних </w:t>
      </w:r>
      <w:r>
        <w:rPr>
          <w:rFonts w:ascii="Times New Roman" w:hAnsi="Times New Roman"/>
          <w:sz w:val="28"/>
          <w:szCs w:val="28"/>
          <w:shd w:val="clear" w:color="auto" w:fill="FFFFFF"/>
        </w:rPr>
        <w:t>табл. 1 видно</w:t>
      </w:r>
      <w:r w:rsidRPr="00365866">
        <w:rPr>
          <w:rFonts w:ascii="Times New Roman" w:hAnsi="Times New Roman"/>
          <w:sz w:val="28"/>
          <w:szCs w:val="28"/>
          <w:shd w:val="clear" w:color="auto" w:fill="FFFFFF"/>
        </w:rPr>
        <w:t xml:space="preserve">, що загальна сума укладених угод на організованому фондовому ринку України дорівнювала за 9 місяців 2016 року 189195,38 тис. грн. Показники обсягів контрактів з цінними паперами досягли своєї максимальної величини в червні досліджуваного року, проте, починаючи вже з липня, вони починають дещо знижуватися. </w:t>
      </w:r>
      <w:r w:rsidR="001E3551" w:rsidRPr="001E3551">
        <w:rPr>
          <w:rFonts w:ascii="Times New Roman" w:hAnsi="Times New Roman"/>
          <w:sz w:val="28"/>
          <w:szCs w:val="28"/>
          <w:shd w:val="clear" w:color="auto" w:fill="FFFFFF"/>
        </w:rPr>
        <w:t xml:space="preserve">Найбільшу частку у біржовому товарообороті, а саме 55,3% при цьому займали угоди, укладені на фондовій біржі «Перспектива». У грошовому вираженні їх сума складала  </w:t>
      </w:r>
      <w:r w:rsidR="001E3551" w:rsidRPr="001E3551">
        <w:rPr>
          <w:rFonts w:ascii="Times New Roman" w:hAnsi="Times New Roman"/>
          <w:bCs/>
          <w:sz w:val="28"/>
          <w:szCs w:val="28"/>
        </w:rPr>
        <w:t>104566,8 млн. грн.</w:t>
      </w:r>
      <w:r w:rsidR="001E3551" w:rsidRPr="001E3551">
        <w:rPr>
          <w:rFonts w:ascii="Times New Roman" w:hAnsi="Times New Roman"/>
          <w:sz w:val="28"/>
          <w:szCs w:val="28"/>
          <w:shd w:val="clear" w:color="auto" w:fill="FFFFFF"/>
        </w:rPr>
        <w:t xml:space="preserve"> Фондова біржа «</w:t>
      </w:r>
      <w:r w:rsidR="001E3551" w:rsidRPr="001E3551">
        <w:rPr>
          <w:rFonts w:ascii="Times New Roman" w:hAnsi="Times New Roman"/>
          <w:bCs/>
          <w:sz w:val="28"/>
          <w:szCs w:val="28"/>
          <w:lang w:eastAsia="uk-UA"/>
        </w:rPr>
        <w:t xml:space="preserve">ПФТС» займала друге місце у рейтингу організаторів торгівлі в Україні, забезпечивши біржовий обіг у сумі </w:t>
      </w:r>
      <w:r w:rsidR="001E3551" w:rsidRPr="001E3551">
        <w:rPr>
          <w:sz w:val="28"/>
          <w:szCs w:val="28"/>
        </w:rPr>
        <w:t xml:space="preserve"> </w:t>
      </w:r>
      <w:r w:rsidR="001E3551" w:rsidRPr="001E3551">
        <w:rPr>
          <w:rFonts w:ascii="Times New Roman" w:hAnsi="Times New Roman"/>
          <w:bCs/>
          <w:sz w:val="28"/>
          <w:szCs w:val="28"/>
        </w:rPr>
        <w:t>80066,48 млн. грн., що складає 42,3% загального обсягу укладених угод організаторами торгівлі.</w:t>
      </w:r>
    </w:p>
    <w:p w:rsidR="001E3551" w:rsidRPr="001E3551" w:rsidRDefault="001E3551" w:rsidP="00365866">
      <w:pPr>
        <w:tabs>
          <w:tab w:val="left" w:pos="851"/>
        </w:tabs>
        <w:spacing w:after="0" w:line="240" w:lineRule="auto"/>
        <w:ind w:firstLine="567"/>
        <w:contextualSpacing/>
        <w:jc w:val="both"/>
        <w:rPr>
          <w:rFonts w:ascii="Times New Roman" w:eastAsia="Times New Roman" w:hAnsi="Times New Roman"/>
          <w:sz w:val="28"/>
          <w:szCs w:val="28"/>
          <w:lang w:eastAsia="uk-UA"/>
        </w:rPr>
      </w:pPr>
      <w:r w:rsidRPr="001E3551">
        <w:rPr>
          <w:rFonts w:ascii="Times New Roman" w:hAnsi="Times New Roman"/>
          <w:sz w:val="28"/>
          <w:szCs w:val="28"/>
          <w:shd w:val="clear" w:color="auto" w:fill="FFFFFF"/>
        </w:rPr>
        <w:t>Для того, щоб фондовий ринок України міг активно розвиватися на території нашої держави, необхідно впровадити ряд з</w:t>
      </w:r>
      <w:r w:rsidRPr="001E3551">
        <w:rPr>
          <w:rFonts w:ascii="Times New Roman" w:eastAsia="Times New Roman" w:hAnsi="Times New Roman"/>
          <w:sz w:val="28"/>
          <w:szCs w:val="28"/>
          <w:lang w:eastAsia="uk-UA"/>
        </w:rPr>
        <w:t>аходів з його реформування, які будуть спрямовані на вирішення проблем його розвитку та забезпечення ефективного функціонування:</w:t>
      </w:r>
      <w:bookmarkStart w:id="0" w:name="_GoBack"/>
      <w:bookmarkEnd w:id="0"/>
    </w:p>
    <w:p w:rsidR="001E3551" w:rsidRPr="001E3551" w:rsidRDefault="001E3551" w:rsidP="00365866">
      <w:pPr>
        <w:numPr>
          <w:ilvl w:val="0"/>
          <w:numId w:val="2"/>
        </w:numPr>
        <w:tabs>
          <w:tab w:val="left" w:pos="851"/>
        </w:tabs>
        <w:spacing w:after="0" w:line="240" w:lineRule="auto"/>
        <w:ind w:left="0" w:firstLine="567"/>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 підвищення рівня </w:t>
      </w:r>
      <w:r w:rsidRPr="001E3551">
        <w:rPr>
          <w:rFonts w:ascii="Times New Roman" w:eastAsia="Times New Roman" w:hAnsi="Times New Roman"/>
          <w:sz w:val="28"/>
          <w:szCs w:val="28"/>
          <w:lang w:eastAsia="uk-UA"/>
        </w:rPr>
        <w:t>капіталізації та ліквідності фондового ринку;</w:t>
      </w:r>
    </w:p>
    <w:p w:rsidR="001E3551" w:rsidRPr="001E3551" w:rsidRDefault="001E3551" w:rsidP="00365866">
      <w:pPr>
        <w:numPr>
          <w:ilvl w:val="0"/>
          <w:numId w:val="2"/>
        </w:numPr>
        <w:tabs>
          <w:tab w:val="left" w:pos="851"/>
        </w:tabs>
        <w:spacing w:after="0" w:line="240" w:lineRule="auto"/>
        <w:ind w:left="0" w:firstLine="567"/>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 зростання</w:t>
      </w:r>
      <w:r w:rsidRPr="001E3551">
        <w:rPr>
          <w:rFonts w:ascii="Times New Roman" w:eastAsia="Times New Roman" w:hAnsi="Times New Roman"/>
          <w:sz w:val="28"/>
          <w:szCs w:val="28"/>
          <w:lang w:eastAsia="uk-UA"/>
        </w:rPr>
        <w:t xml:space="preserve"> рівня захищеності прав інвесторів;</w:t>
      </w:r>
    </w:p>
    <w:p w:rsidR="001E3551" w:rsidRPr="001E3551" w:rsidRDefault="001E3551" w:rsidP="00365866">
      <w:pPr>
        <w:numPr>
          <w:ilvl w:val="0"/>
          <w:numId w:val="2"/>
        </w:numPr>
        <w:tabs>
          <w:tab w:val="left" w:pos="851"/>
        </w:tabs>
        <w:spacing w:after="0" w:line="240" w:lineRule="auto"/>
        <w:ind w:left="0" w:firstLine="567"/>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 досягнення</w:t>
      </w:r>
      <w:r w:rsidRPr="001E3551">
        <w:rPr>
          <w:rFonts w:ascii="Times New Roman" w:eastAsia="Times New Roman" w:hAnsi="Times New Roman"/>
          <w:sz w:val="28"/>
          <w:szCs w:val="28"/>
          <w:lang w:eastAsia="uk-UA"/>
        </w:rPr>
        <w:t xml:space="preserve"> стабільності загальноекономічної ситуації в державі, зниження різного виду ризиків;</w:t>
      </w:r>
    </w:p>
    <w:p w:rsidR="001E3551" w:rsidRPr="001E3551" w:rsidRDefault="001E3551" w:rsidP="00365866">
      <w:pPr>
        <w:numPr>
          <w:ilvl w:val="0"/>
          <w:numId w:val="2"/>
        </w:numPr>
        <w:tabs>
          <w:tab w:val="left" w:pos="851"/>
        </w:tabs>
        <w:spacing w:after="0" w:line="240" w:lineRule="auto"/>
        <w:ind w:left="0" w:firstLine="567"/>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 </w:t>
      </w:r>
      <w:r w:rsidRPr="001E3551">
        <w:rPr>
          <w:rFonts w:ascii="Times New Roman" w:eastAsia="Times New Roman" w:hAnsi="Times New Roman"/>
          <w:sz w:val="28"/>
          <w:szCs w:val="28"/>
          <w:lang w:eastAsia="uk-UA"/>
        </w:rPr>
        <w:t>створення багатофункціональної біржі національного значення, що буде діяти відповідно до принципів регульованих ринків ЄС;</w:t>
      </w:r>
    </w:p>
    <w:p w:rsidR="001E3551" w:rsidRPr="001E3551" w:rsidRDefault="001E3551" w:rsidP="00365866">
      <w:pPr>
        <w:numPr>
          <w:ilvl w:val="0"/>
          <w:numId w:val="2"/>
        </w:numPr>
        <w:tabs>
          <w:tab w:val="left" w:pos="851"/>
        </w:tabs>
        <w:spacing w:after="0" w:line="240" w:lineRule="auto"/>
        <w:ind w:left="0" w:firstLine="567"/>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 </w:t>
      </w:r>
      <w:r w:rsidRPr="001E3551">
        <w:rPr>
          <w:rFonts w:ascii="Times New Roman" w:eastAsia="Times New Roman" w:hAnsi="Times New Roman"/>
          <w:sz w:val="28"/>
          <w:szCs w:val="28"/>
          <w:lang w:eastAsia="uk-UA"/>
        </w:rPr>
        <w:t xml:space="preserve">підвищення прозорості операцій на фондовому ринку, </w:t>
      </w:r>
    </w:p>
    <w:p w:rsidR="001E3551" w:rsidRPr="001E3551" w:rsidRDefault="001E3551" w:rsidP="00365866">
      <w:pPr>
        <w:numPr>
          <w:ilvl w:val="0"/>
          <w:numId w:val="2"/>
        </w:numPr>
        <w:tabs>
          <w:tab w:val="left" w:pos="851"/>
        </w:tabs>
        <w:spacing w:after="0" w:line="240" w:lineRule="auto"/>
        <w:ind w:left="0" w:firstLine="567"/>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 </w:t>
      </w:r>
      <w:r w:rsidRPr="001E3551">
        <w:rPr>
          <w:rFonts w:ascii="Times New Roman" w:eastAsia="Times New Roman" w:hAnsi="Times New Roman"/>
          <w:sz w:val="28"/>
          <w:szCs w:val="28"/>
          <w:lang w:eastAsia="uk-UA"/>
        </w:rPr>
        <w:t>встановлення узгодженості вітчизняного законодавства з міжнародними стандартами та сучасними вимогами розвитку фінансових відносин.</w:t>
      </w:r>
    </w:p>
    <w:p w:rsidR="001E3551" w:rsidRPr="001E3551" w:rsidRDefault="001E3551" w:rsidP="00365866">
      <w:pPr>
        <w:tabs>
          <w:tab w:val="left" w:pos="851"/>
        </w:tabs>
        <w:spacing w:after="0" w:line="240" w:lineRule="auto"/>
        <w:ind w:firstLine="567"/>
        <w:contextualSpacing/>
        <w:jc w:val="both"/>
        <w:rPr>
          <w:rFonts w:ascii="Times New Roman" w:eastAsia="Times New Roman" w:hAnsi="Times New Roman"/>
          <w:sz w:val="28"/>
          <w:szCs w:val="28"/>
          <w:lang w:eastAsia="uk-UA"/>
        </w:rPr>
      </w:pPr>
      <w:r w:rsidRPr="001E3551">
        <w:rPr>
          <w:rFonts w:ascii="Times New Roman" w:eastAsia="Times New Roman" w:hAnsi="Times New Roman"/>
          <w:sz w:val="28"/>
          <w:szCs w:val="28"/>
          <w:lang w:eastAsia="uk-UA"/>
        </w:rPr>
        <w:t>Важливим завданням реформування фондового ринку України є забезпечення функціонування центрального депозитарію України. У міжнародній практиці побудова та діяльність центрального депозитарію базуються на таких принципах</w:t>
      </w:r>
      <w:r w:rsidRPr="001E3551">
        <w:rPr>
          <w:rFonts w:ascii="Times New Roman" w:eastAsia="Times New Roman" w:hAnsi="Times New Roman"/>
          <w:sz w:val="28"/>
          <w:szCs w:val="28"/>
          <w:lang w:val="ru-RU" w:eastAsia="uk-UA"/>
        </w:rPr>
        <w:t xml:space="preserve"> [11, с. </w:t>
      </w:r>
      <w:proofErr w:type="gramStart"/>
      <w:r w:rsidRPr="001E3551">
        <w:rPr>
          <w:rFonts w:ascii="Times New Roman" w:eastAsia="Times New Roman" w:hAnsi="Times New Roman"/>
          <w:sz w:val="28"/>
          <w:szCs w:val="28"/>
          <w:lang w:val="ru-RU" w:eastAsia="uk-UA"/>
        </w:rPr>
        <w:t>272]</w:t>
      </w:r>
      <w:r w:rsidRPr="001E3551">
        <w:rPr>
          <w:rFonts w:ascii="Times New Roman" w:eastAsia="Times New Roman" w:hAnsi="Times New Roman"/>
          <w:sz w:val="28"/>
          <w:szCs w:val="28"/>
          <w:lang w:eastAsia="uk-UA"/>
        </w:rPr>
        <w:t xml:space="preserve">: </w:t>
      </w:r>
      <w:proofErr w:type="gramEnd"/>
    </w:p>
    <w:p w:rsidR="001E3551" w:rsidRPr="001E3551" w:rsidRDefault="001E3551" w:rsidP="00365866">
      <w:pPr>
        <w:tabs>
          <w:tab w:val="left" w:pos="0"/>
          <w:tab w:val="left" w:pos="851"/>
        </w:tabs>
        <w:spacing w:after="0" w:line="240" w:lineRule="auto"/>
        <w:ind w:firstLine="567"/>
        <w:contextualSpacing/>
        <w:jc w:val="both"/>
        <w:rPr>
          <w:rFonts w:ascii="Times New Roman" w:eastAsia="Times New Roman" w:hAnsi="Times New Roman"/>
          <w:sz w:val="28"/>
          <w:szCs w:val="28"/>
          <w:lang w:eastAsia="uk-UA"/>
        </w:rPr>
      </w:pPr>
      <w:r w:rsidRPr="001E3551">
        <w:rPr>
          <w:rFonts w:ascii="Times New Roman" w:eastAsia="Times New Roman" w:hAnsi="Times New Roman"/>
          <w:sz w:val="28"/>
          <w:szCs w:val="28"/>
          <w:lang w:eastAsia="uk-UA"/>
        </w:rPr>
        <w:t xml:space="preserve">– незалежність – рівні можливості впливу учасників ринку та держави на діяльність ЦД,  недопущення великої концентрації впливу в одних руках; </w:t>
      </w:r>
    </w:p>
    <w:p w:rsidR="001E3551" w:rsidRPr="001E3551" w:rsidRDefault="001E3551" w:rsidP="00365866">
      <w:pPr>
        <w:tabs>
          <w:tab w:val="left" w:pos="0"/>
          <w:tab w:val="left" w:pos="851"/>
        </w:tabs>
        <w:spacing w:after="0" w:line="240" w:lineRule="auto"/>
        <w:ind w:firstLine="567"/>
        <w:contextualSpacing/>
        <w:jc w:val="both"/>
        <w:rPr>
          <w:rFonts w:ascii="Times New Roman" w:eastAsia="Times New Roman" w:hAnsi="Times New Roman"/>
          <w:sz w:val="28"/>
          <w:szCs w:val="28"/>
          <w:lang w:eastAsia="uk-UA"/>
        </w:rPr>
      </w:pPr>
      <w:r w:rsidRPr="001E3551">
        <w:rPr>
          <w:rFonts w:ascii="Times New Roman" w:eastAsia="Times New Roman" w:hAnsi="Times New Roman"/>
          <w:sz w:val="28"/>
          <w:szCs w:val="28"/>
          <w:lang w:eastAsia="uk-UA"/>
        </w:rPr>
        <w:t>– прозорість – незалежний аудит і однаковий доступ зацікавлених сторін до інформації про діяльність ЦД;</w:t>
      </w:r>
    </w:p>
    <w:p w:rsidR="001E3551" w:rsidRPr="001E3551" w:rsidRDefault="001E3551" w:rsidP="00365866">
      <w:pPr>
        <w:tabs>
          <w:tab w:val="left" w:pos="0"/>
          <w:tab w:val="left" w:pos="851"/>
        </w:tabs>
        <w:spacing w:after="0" w:line="240" w:lineRule="auto"/>
        <w:ind w:firstLine="567"/>
        <w:contextualSpacing/>
        <w:jc w:val="both"/>
        <w:rPr>
          <w:rFonts w:ascii="Times New Roman" w:eastAsia="Times New Roman" w:hAnsi="Times New Roman"/>
          <w:sz w:val="28"/>
          <w:szCs w:val="28"/>
          <w:lang w:eastAsia="uk-UA"/>
        </w:rPr>
      </w:pPr>
      <w:r w:rsidRPr="001E3551">
        <w:rPr>
          <w:rFonts w:ascii="Times New Roman" w:eastAsia="Times New Roman" w:hAnsi="Times New Roman"/>
          <w:sz w:val="28"/>
          <w:szCs w:val="28"/>
          <w:lang w:eastAsia="uk-UA"/>
        </w:rPr>
        <w:t>– некомерційний характер діяльності – прибуток ЦД повністю витрачають на розвиток його інфраструктури;</w:t>
      </w:r>
    </w:p>
    <w:p w:rsidR="001E3551" w:rsidRPr="001E3551" w:rsidRDefault="001E3551" w:rsidP="00365866">
      <w:pPr>
        <w:tabs>
          <w:tab w:val="left" w:pos="0"/>
          <w:tab w:val="left" w:pos="851"/>
        </w:tabs>
        <w:spacing w:after="0" w:line="240" w:lineRule="auto"/>
        <w:ind w:firstLine="567"/>
        <w:contextualSpacing/>
        <w:jc w:val="both"/>
        <w:rPr>
          <w:rFonts w:ascii="Times New Roman" w:eastAsia="Times New Roman" w:hAnsi="Times New Roman"/>
          <w:sz w:val="28"/>
          <w:szCs w:val="28"/>
          <w:lang w:eastAsia="uk-UA"/>
        </w:rPr>
      </w:pPr>
      <w:r w:rsidRPr="001E3551">
        <w:rPr>
          <w:rFonts w:ascii="Times New Roman" w:eastAsia="Times New Roman" w:hAnsi="Times New Roman"/>
          <w:sz w:val="28"/>
          <w:szCs w:val="28"/>
          <w:lang w:eastAsia="uk-UA"/>
        </w:rPr>
        <w:t>– державна підтримка: політична та фінансова;</w:t>
      </w:r>
    </w:p>
    <w:p w:rsidR="001E3551" w:rsidRPr="001E3551" w:rsidRDefault="001E3551" w:rsidP="00365866">
      <w:pPr>
        <w:tabs>
          <w:tab w:val="left" w:pos="0"/>
          <w:tab w:val="left" w:pos="851"/>
        </w:tabs>
        <w:spacing w:after="0" w:line="240" w:lineRule="auto"/>
        <w:ind w:firstLine="567"/>
        <w:contextualSpacing/>
        <w:jc w:val="both"/>
        <w:rPr>
          <w:rFonts w:ascii="Times New Roman" w:eastAsia="Times New Roman" w:hAnsi="Times New Roman"/>
          <w:sz w:val="28"/>
          <w:szCs w:val="28"/>
          <w:lang w:eastAsia="uk-UA"/>
        </w:rPr>
      </w:pPr>
      <w:r w:rsidRPr="001E3551">
        <w:rPr>
          <w:rFonts w:ascii="Times New Roman" w:eastAsia="Times New Roman" w:hAnsi="Times New Roman"/>
          <w:sz w:val="28"/>
          <w:szCs w:val="28"/>
          <w:lang w:eastAsia="uk-UA"/>
        </w:rPr>
        <w:t>– однакова доступність для всіх учасників ринку;</w:t>
      </w:r>
    </w:p>
    <w:p w:rsidR="001E3551" w:rsidRPr="001E3551" w:rsidRDefault="001E3551" w:rsidP="00365866">
      <w:pPr>
        <w:tabs>
          <w:tab w:val="left" w:pos="0"/>
          <w:tab w:val="left" w:pos="851"/>
        </w:tabs>
        <w:spacing w:after="0" w:line="240" w:lineRule="auto"/>
        <w:ind w:firstLine="567"/>
        <w:contextualSpacing/>
        <w:jc w:val="both"/>
        <w:rPr>
          <w:rFonts w:ascii="Times New Roman" w:eastAsia="Times New Roman" w:hAnsi="Times New Roman"/>
          <w:sz w:val="28"/>
          <w:szCs w:val="28"/>
          <w:lang w:eastAsia="uk-UA"/>
        </w:rPr>
      </w:pPr>
      <w:r w:rsidRPr="001E3551">
        <w:rPr>
          <w:rFonts w:ascii="Times New Roman" w:eastAsia="Times New Roman" w:hAnsi="Times New Roman"/>
          <w:sz w:val="28"/>
          <w:szCs w:val="28"/>
          <w:lang w:eastAsia="uk-UA"/>
        </w:rPr>
        <w:t>– справедливе визначення тарифів відповідність тарифів можливостям і потребам учасників ринку;</w:t>
      </w:r>
    </w:p>
    <w:p w:rsidR="001E3551" w:rsidRPr="001E3551" w:rsidRDefault="001E3551" w:rsidP="00365866">
      <w:pPr>
        <w:tabs>
          <w:tab w:val="left" w:pos="0"/>
          <w:tab w:val="left" w:pos="851"/>
        </w:tabs>
        <w:spacing w:after="0" w:line="240" w:lineRule="auto"/>
        <w:ind w:firstLine="567"/>
        <w:contextualSpacing/>
        <w:jc w:val="both"/>
        <w:rPr>
          <w:rFonts w:ascii="Times New Roman" w:eastAsia="Times New Roman" w:hAnsi="Times New Roman"/>
          <w:sz w:val="28"/>
          <w:szCs w:val="28"/>
          <w:lang w:eastAsia="uk-UA"/>
        </w:rPr>
      </w:pPr>
      <w:r w:rsidRPr="001E3551">
        <w:rPr>
          <w:rFonts w:ascii="Times New Roman" w:eastAsia="Times New Roman" w:hAnsi="Times New Roman"/>
          <w:sz w:val="28"/>
          <w:szCs w:val="28"/>
          <w:lang w:eastAsia="uk-UA"/>
        </w:rPr>
        <w:t>– урахування досвіду структур, які вже працюють на ринку.</w:t>
      </w:r>
    </w:p>
    <w:p w:rsidR="001E3551" w:rsidRPr="0078681B" w:rsidRDefault="001E3551" w:rsidP="00365866">
      <w:pPr>
        <w:tabs>
          <w:tab w:val="left" w:pos="851"/>
        </w:tabs>
        <w:spacing w:after="0" w:line="240" w:lineRule="auto"/>
        <w:ind w:firstLine="567"/>
        <w:jc w:val="both"/>
        <w:rPr>
          <w:b/>
          <w:sz w:val="28"/>
          <w:szCs w:val="28"/>
        </w:rPr>
      </w:pPr>
      <w:r w:rsidRPr="001E3551">
        <w:rPr>
          <w:rFonts w:ascii="Times New Roman" w:eastAsia="Times New Roman" w:hAnsi="Times New Roman"/>
          <w:sz w:val="28"/>
          <w:szCs w:val="28"/>
          <w:lang w:eastAsia="uk-UA"/>
        </w:rPr>
        <w:t>Реалізація політики формування ефективного ринку цінних паперів в Україні є важливою складовою процесу ринкової реорганізації національної економіки та суттєвим фактором зміцнення конкурентоспроможності нашої держави.</w:t>
      </w:r>
    </w:p>
    <w:p w:rsidR="0003450F" w:rsidRDefault="0003450F" w:rsidP="00365866">
      <w:pPr>
        <w:pStyle w:val="10"/>
        <w:keepNext/>
        <w:keepLines/>
        <w:shd w:val="clear" w:color="auto" w:fill="auto"/>
        <w:tabs>
          <w:tab w:val="left" w:pos="851"/>
        </w:tabs>
        <w:spacing w:before="0" w:line="240" w:lineRule="auto"/>
        <w:ind w:firstLine="567"/>
        <w:jc w:val="center"/>
        <w:rPr>
          <w:b/>
          <w:sz w:val="28"/>
          <w:szCs w:val="28"/>
        </w:rPr>
      </w:pPr>
      <w:r w:rsidRPr="0078681B">
        <w:rPr>
          <w:b/>
          <w:sz w:val="28"/>
          <w:szCs w:val="28"/>
        </w:rPr>
        <w:lastRenderedPageBreak/>
        <w:t>Список використаних джерел</w:t>
      </w:r>
      <w:r>
        <w:rPr>
          <w:b/>
          <w:sz w:val="28"/>
          <w:szCs w:val="28"/>
        </w:rPr>
        <w:t>:</w:t>
      </w:r>
    </w:p>
    <w:p w:rsidR="001E3551" w:rsidRPr="001E3551" w:rsidRDefault="001E3551" w:rsidP="00365866">
      <w:pPr>
        <w:tabs>
          <w:tab w:val="left" w:pos="851"/>
        </w:tabs>
        <w:spacing w:after="0" w:line="240" w:lineRule="auto"/>
        <w:ind w:firstLine="567"/>
        <w:jc w:val="both"/>
        <w:rPr>
          <w:rFonts w:ascii="Times New Roman" w:eastAsia="Times New Roman" w:hAnsi="Times New Roman"/>
          <w:sz w:val="28"/>
          <w:szCs w:val="28"/>
          <w:lang w:eastAsia="uk-UA"/>
        </w:rPr>
      </w:pPr>
      <w:r w:rsidRPr="001E3551">
        <w:rPr>
          <w:rFonts w:ascii="Times New Roman" w:eastAsia="Times New Roman" w:hAnsi="Times New Roman"/>
          <w:sz w:val="28"/>
          <w:szCs w:val="28"/>
          <w:lang w:eastAsia="uk-UA"/>
        </w:rPr>
        <w:t xml:space="preserve">1. Пашнина О. </w:t>
      </w:r>
      <w:proofErr w:type="spellStart"/>
      <w:r w:rsidRPr="001E3551">
        <w:rPr>
          <w:rFonts w:ascii="Times New Roman" w:eastAsia="Times New Roman" w:hAnsi="Times New Roman"/>
          <w:sz w:val="28"/>
          <w:szCs w:val="28"/>
          <w:lang w:eastAsia="uk-UA"/>
        </w:rPr>
        <w:t>Перспективы</w:t>
      </w:r>
      <w:proofErr w:type="spellEnd"/>
      <w:r w:rsidRPr="001E3551">
        <w:rPr>
          <w:rFonts w:ascii="Times New Roman" w:eastAsia="Times New Roman" w:hAnsi="Times New Roman"/>
          <w:sz w:val="28"/>
          <w:szCs w:val="28"/>
          <w:lang w:eastAsia="uk-UA"/>
        </w:rPr>
        <w:t xml:space="preserve"> фондового </w:t>
      </w:r>
      <w:proofErr w:type="spellStart"/>
      <w:r w:rsidRPr="001E3551">
        <w:rPr>
          <w:rFonts w:ascii="Times New Roman" w:eastAsia="Times New Roman" w:hAnsi="Times New Roman"/>
          <w:sz w:val="28"/>
          <w:szCs w:val="28"/>
          <w:lang w:eastAsia="uk-UA"/>
        </w:rPr>
        <w:t>рынка</w:t>
      </w:r>
      <w:proofErr w:type="spellEnd"/>
      <w:r w:rsidRPr="001E3551">
        <w:rPr>
          <w:rFonts w:ascii="Times New Roman" w:eastAsia="Times New Roman" w:hAnsi="Times New Roman"/>
          <w:sz w:val="28"/>
          <w:szCs w:val="28"/>
          <w:lang w:eastAsia="uk-UA"/>
        </w:rPr>
        <w:t xml:space="preserve"> </w:t>
      </w:r>
      <w:proofErr w:type="spellStart"/>
      <w:r w:rsidRPr="001E3551">
        <w:rPr>
          <w:rFonts w:ascii="Times New Roman" w:eastAsia="Times New Roman" w:hAnsi="Times New Roman"/>
          <w:sz w:val="28"/>
          <w:szCs w:val="28"/>
          <w:lang w:eastAsia="uk-UA"/>
        </w:rPr>
        <w:t>Украины</w:t>
      </w:r>
      <w:proofErr w:type="spellEnd"/>
      <w:r w:rsidRPr="001E3551">
        <w:rPr>
          <w:rFonts w:ascii="Times New Roman" w:eastAsia="Times New Roman" w:hAnsi="Times New Roman"/>
          <w:sz w:val="28"/>
          <w:szCs w:val="28"/>
          <w:lang w:eastAsia="uk-UA"/>
        </w:rPr>
        <w:t xml:space="preserve">/О. </w:t>
      </w:r>
      <w:proofErr w:type="spellStart"/>
      <w:r w:rsidRPr="001E3551">
        <w:rPr>
          <w:rFonts w:ascii="Times New Roman" w:eastAsia="Times New Roman" w:hAnsi="Times New Roman"/>
          <w:sz w:val="28"/>
          <w:szCs w:val="28"/>
          <w:lang w:eastAsia="uk-UA"/>
        </w:rPr>
        <w:t>Пашнина</w:t>
      </w:r>
      <w:proofErr w:type="spellEnd"/>
      <w:r w:rsidRPr="001E3551">
        <w:rPr>
          <w:rFonts w:ascii="Times New Roman" w:eastAsia="Times New Roman" w:hAnsi="Times New Roman"/>
          <w:sz w:val="28"/>
          <w:szCs w:val="28"/>
          <w:lang w:eastAsia="uk-UA"/>
        </w:rPr>
        <w:t>//Акціонерний вісник – Україна. – 2008. - № 3</w:t>
      </w:r>
      <w:r>
        <w:rPr>
          <w:rFonts w:ascii="Times New Roman" w:eastAsia="Times New Roman" w:hAnsi="Times New Roman"/>
          <w:sz w:val="28"/>
          <w:szCs w:val="28"/>
          <w:lang w:eastAsia="uk-UA"/>
        </w:rPr>
        <w:t xml:space="preserve">. </w:t>
      </w:r>
      <w:r w:rsidRPr="001E3551">
        <w:rPr>
          <w:rFonts w:ascii="Times New Roman" w:eastAsia="Times New Roman" w:hAnsi="Times New Roman"/>
          <w:sz w:val="28"/>
          <w:szCs w:val="28"/>
          <w:lang w:eastAsia="uk-UA"/>
        </w:rPr>
        <w:t xml:space="preserve"> [Електронний ресурс]. - Режим доступу : http://vestnikao.com.ua/publ/7-1-0-51</w:t>
      </w:r>
    </w:p>
    <w:p w:rsidR="001E3551" w:rsidRPr="001E3551" w:rsidRDefault="001E3551" w:rsidP="00365866">
      <w:pPr>
        <w:tabs>
          <w:tab w:val="left" w:pos="851"/>
        </w:tabs>
        <w:spacing w:after="0" w:line="240" w:lineRule="auto"/>
        <w:ind w:firstLine="567"/>
        <w:jc w:val="both"/>
        <w:rPr>
          <w:rFonts w:ascii="Times New Roman" w:eastAsia="Times New Roman" w:hAnsi="Times New Roman"/>
          <w:sz w:val="28"/>
          <w:szCs w:val="28"/>
          <w:lang w:eastAsia="uk-UA"/>
        </w:rPr>
      </w:pPr>
      <w:r w:rsidRPr="001E3551">
        <w:rPr>
          <w:rFonts w:ascii="Times New Roman" w:eastAsia="Times New Roman" w:hAnsi="Times New Roman"/>
          <w:sz w:val="28"/>
          <w:szCs w:val="28"/>
          <w:lang w:eastAsia="uk-UA"/>
        </w:rPr>
        <w:t xml:space="preserve">3. Ромашко О. Ю. Регулювання міжнародних фондових ринків: </w:t>
      </w:r>
      <w:proofErr w:type="spellStart"/>
      <w:r w:rsidRPr="001E3551">
        <w:rPr>
          <w:rFonts w:ascii="Times New Roman" w:eastAsia="Times New Roman" w:hAnsi="Times New Roman"/>
          <w:sz w:val="28"/>
          <w:szCs w:val="28"/>
          <w:lang w:eastAsia="uk-UA"/>
        </w:rPr>
        <w:t>навч</w:t>
      </w:r>
      <w:proofErr w:type="spellEnd"/>
      <w:r w:rsidRPr="001E3551">
        <w:rPr>
          <w:rFonts w:ascii="Times New Roman" w:eastAsia="Times New Roman" w:hAnsi="Times New Roman"/>
          <w:sz w:val="28"/>
          <w:szCs w:val="28"/>
          <w:lang w:eastAsia="uk-UA"/>
        </w:rPr>
        <w:t xml:space="preserve">. </w:t>
      </w:r>
      <w:proofErr w:type="spellStart"/>
      <w:r w:rsidRPr="001E3551">
        <w:rPr>
          <w:rFonts w:ascii="Times New Roman" w:eastAsia="Times New Roman" w:hAnsi="Times New Roman"/>
          <w:sz w:val="28"/>
          <w:szCs w:val="28"/>
          <w:lang w:eastAsia="uk-UA"/>
        </w:rPr>
        <w:t>посібн</w:t>
      </w:r>
      <w:proofErr w:type="spellEnd"/>
      <w:r w:rsidRPr="001E3551">
        <w:rPr>
          <w:rFonts w:ascii="Times New Roman" w:eastAsia="Times New Roman" w:hAnsi="Times New Roman"/>
          <w:sz w:val="28"/>
          <w:szCs w:val="28"/>
          <w:lang w:eastAsia="uk-UA"/>
        </w:rPr>
        <w:t>./О. Ю. Ромашко. – К.: КНЕУ, 2000. – 240 с.</w:t>
      </w:r>
    </w:p>
    <w:p w:rsidR="001E3551" w:rsidRPr="001E3551" w:rsidRDefault="001E3551" w:rsidP="00365866">
      <w:pPr>
        <w:tabs>
          <w:tab w:val="left" w:pos="851"/>
        </w:tabs>
        <w:spacing w:after="0" w:line="240" w:lineRule="auto"/>
        <w:ind w:firstLine="567"/>
        <w:jc w:val="both"/>
        <w:rPr>
          <w:rFonts w:ascii="Times New Roman" w:eastAsia="Times New Roman" w:hAnsi="Times New Roman"/>
          <w:sz w:val="28"/>
          <w:szCs w:val="28"/>
          <w:lang w:eastAsia="uk-UA"/>
        </w:rPr>
      </w:pPr>
      <w:r w:rsidRPr="001E3551">
        <w:rPr>
          <w:rFonts w:ascii="Times New Roman" w:eastAsia="Times New Roman" w:hAnsi="Times New Roman"/>
          <w:sz w:val="28"/>
          <w:szCs w:val="28"/>
          <w:lang w:eastAsia="uk-UA"/>
        </w:rPr>
        <w:t xml:space="preserve">4. Собкевич О. В. Фондовий ринок та посилення його ролі в економічному розвитку України/О. В. </w:t>
      </w:r>
      <w:proofErr w:type="spellStart"/>
      <w:r w:rsidRPr="001E3551">
        <w:rPr>
          <w:rFonts w:ascii="Times New Roman" w:eastAsia="Times New Roman" w:hAnsi="Times New Roman"/>
          <w:sz w:val="28"/>
          <w:szCs w:val="28"/>
          <w:lang w:eastAsia="uk-UA"/>
        </w:rPr>
        <w:t>Собкевич</w:t>
      </w:r>
      <w:proofErr w:type="spellEnd"/>
      <w:r w:rsidRPr="001E3551">
        <w:rPr>
          <w:rFonts w:ascii="Times New Roman" w:eastAsia="Times New Roman" w:hAnsi="Times New Roman"/>
          <w:sz w:val="28"/>
          <w:szCs w:val="28"/>
          <w:lang w:eastAsia="uk-UA"/>
        </w:rPr>
        <w:t xml:space="preserve"> [Електронний ресурс]. – Режим доступу </w:t>
      </w:r>
      <w:proofErr w:type="spellStart"/>
      <w:r w:rsidRPr="001E3551">
        <w:rPr>
          <w:rFonts w:ascii="Times New Roman" w:eastAsia="Times New Roman" w:hAnsi="Times New Roman"/>
          <w:sz w:val="28"/>
          <w:szCs w:val="28"/>
          <w:lang w:eastAsia="uk-UA"/>
        </w:rPr>
        <w:t>- ht</w:t>
      </w:r>
      <w:proofErr w:type="spellEnd"/>
      <w:r w:rsidRPr="001E3551">
        <w:rPr>
          <w:rFonts w:ascii="Times New Roman" w:eastAsia="Times New Roman" w:hAnsi="Times New Roman"/>
          <w:sz w:val="28"/>
          <w:szCs w:val="28"/>
          <w:lang w:eastAsia="uk-UA"/>
        </w:rPr>
        <w:t>tp://www.inventure.com.ua/</w:t>
      </w:r>
    </w:p>
    <w:p w:rsidR="001E3551" w:rsidRPr="001E3551" w:rsidRDefault="001E3551" w:rsidP="00365866">
      <w:pPr>
        <w:tabs>
          <w:tab w:val="left" w:pos="851"/>
        </w:tabs>
        <w:spacing w:after="0" w:line="240" w:lineRule="auto"/>
        <w:ind w:firstLine="567"/>
        <w:jc w:val="both"/>
        <w:rPr>
          <w:rFonts w:ascii="Times New Roman" w:eastAsia="Times New Roman" w:hAnsi="Times New Roman"/>
          <w:sz w:val="28"/>
          <w:szCs w:val="28"/>
          <w:lang w:eastAsia="uk-UA"/>
        </w:rPr>
      </w:pPr>
      <w:r w:rsidRPr="001E3551">
        <w:rPr>
          <w:rFonts w:ascii="Times New Roman" w:eastAsia="Times New Roman" w:hAnsi="Times New Roman"/>
          <w:sz w:val="28"/>
          <w:szCs w:val="28"/>
          <w:lang w:eastAsia="uk-UA"/>
        </w:rPr>
        <w:t>5.   Динаміка показників фондового ринку// Вісник Національного банку України</w:t>
      </w:r>
      <w:r>
        <w:rPr>
          <w:rFonts w:ascii="Times New Roman" w:eastAsia="Times New Roman" w:hAnsi="Times New Roman"/>
          <w:sz w:val="28"/>
          <w:szCs w:val="28"/>
          <w:lang w:eastAsia="uk-UA"/>
        </w:rPr>
        <w:t>. –</w:t>
      </w:r>
      <w:r w:rsidRPr="001E3551">
        <w:rPr>
          <w:rFonts w:ascii="Times New Roman" w:eastAsia="Times New Roman" w:hAnsi="Times New Roman"/>
          <w:sz w:val="28"/>
          <w:szCs w:val="28"/>
          <w:lang w:eastAsia="uk-UA"/>
        </w:rPr>
        <w:t xml:space="preserve"> 2010</w:t>
      </w:r>
      <w:r>
        <w:rPr>
          <w:rFonts w:ascii="Times New Roman" w:eastAsia="Times New Roman" w:hAnsi="Times New Roman"/>
          <w:sz w:val="28"/>
          <w:szCs w:val="28"/>
          <w:lang w:eastAsia="uk-UA"/>
        </w:rPr>
        <w:t xml:space="preserve">. </w:t>
      </w:r>
      <w:r w:rsidRPr="001E3551">
        <w:rPr>
          <w:rFonts w:ascii="Times New Roman" w:eastAsia="Times New Roman" w:hAnsi="Times New Roman"/>
          <w:sz w:val="28"/>
          <w:szCs w:val="28"/>
          <w:lang w:eastAsia="uk-UA"/>
        </w:rPr>
        <w:t xml:space="preserve"> № 8 – с.</w:t>
      </w:r>
      <w:r>
        <w:rPr>
          <w:rFonts w:ascii="Times New Roman" w:eastAsia="Times New Roman" w:hAnsi="Times New Roman"/>
          <w:sz w:val="28"/>
          <w:szCs w:val="28"/>
          <w:lang w:eastAsia="uk-UA"/>
        </w:rPr>
        <w:t xml:space="preserve"> 43.</w:t>
      </w:r>
    </w:p>
    <w:p w:rsidR="001E3551" w:rsidRPr="001E3551" w:rsidRDefault="001E3551" w:rsidP="00365866">
      <w:pPr>
        <w:tabs>
          <w:tab w:val="left" w:pos="851"/>
        </w:tabs>
        <w:spacing w:after="0" w:line="240" w:lineRule="auto"/>
        <w:ind w:firstLine="567"/>
        <w:jc w:val="both"/>
        <w:rPr>
          <w:rFonts w:ascii="Times New Roman" w:eastAsia="Times New Roman" w:hAnsi="Times New Roman"/>
          <w:sz w:val="28"/>
          <w:szCs w:val="28"/>
          <w:lang w:eastAsia="uk-UA"/>
        </w:rPr>
      </w:pPr>
      <w:r w:rsidRPr="001E3551">
        <w:rPr>
          <w:rFonts w:ascii="Times New Roman" w:eastAsia="Times New Roman" w:hAnsi="Times New Roman"/>
          <w:sz w:val="28"/>
          <w:szCs w:val="28"/>
          <w:lang w:eastAsia="uk-UA"/>
        </w:rPr>
        <w:t xml:space="preserve">6. </w:t>
      </w:r>
      <w:proofErr w:type="spellStart"/>
      <w:r w:rsidRPr="001E3551">
        <w:rPr>
          <w:rFonts w:ascii="Times New Roman" w:eastAsia="Times New Roman" w:hAnsi="Times New Roman"/>
          <w:sz w:val="28"/>
          <w:szCs w:val="28"/>
          <w:lang w:eastAsia="uk-UA"/>
        </w:rPr>
        <w:t>Смахтіна</w:t>
      </w:r>
      <w:proofErr w:type="spellEnd"/>
      <w:r w:rsidRPr="001E3551">
        <w:rPr>
          <w:rFonts w:ascii="Times New Roman" w:eastAsia="Times New Roman" w:hAnsi="Times New Roman"/>
          <w:sz w:val="28"/>
          <w:szCs w:val="28"/>
          <w:lang w:eastAsia="uk-UA"/>
        </w:rPr>
        <w:t xml:space="preserve"> Д. Інвестори і фондовий ринок України//</w:t>
      </w:r>
      <w:r>
        <w:rPr>
          <w:rFonts w:ascii="Times New Roman" w:eastAsia="Times New Roman" w:hAnsi="Times New Roman"/>
          <w:sz w:val="28"/>
          <w:szCs w:val="28"/>
          <w:lang w:eastAsia="uk-UA"/>
        </w:rPr>
        <w:t xml:space="preserve"> </w:t>
      </w:r>
      <w:r w:rsidRPr="001E3551">
        <w:rPr>
          <w:rFonts w:ascii="Times New Roman" w:eastAsia="Times New Roman" w:hAnsi="Times New Roman"/>
          <w:sz w:val="28"/>
          <w:szCs w:val="28"/>
          <w:lang w:eastAsia="uk-UA"/>
        </w:rPr>
        <w:t>Д.</w:t>
      </w:r>
      <w:proofErr w:type="spellStart"/>
      <w:r w:rsidRPr="001E3551">
        <w:rPr>
          <w:rFonts w:ascii="Times New Roman" w:eastAsia="Times New Roman" w:hAnsi="Times New Roman"/>
          <w:sz w:val="28"/>
          <w:szCs w:val="28"/>
          <w:lang w:eastAsia="uk-UA"/>
        </w:rPr>
        <w:t>Смахтіна</w:t>
      </w:r>
      <w:proofErr w:type="spellEnd"/>
      <w:r w:rsidRPr="001E3551">
        <w:rPr>
          <w:rFonts w:ascii="Times New Roman" w:eastAsia="Times New Roman" w:hAnsi="Times New Roman"/>
          <w:sz w:val="28"/>
          <w:szCs w:val="28"/>
          <w:lang w:eastAsia="uk-UA"/>
        </w:rPr>
        <w:t>/ Україна Бізнес Ревю</w:t>
      </w:r>
      <w:r>
        <w:rPr>
          <w:rFonts w:ascii="Times New Roman" w:eastAsia="Times New Roman" w:hAnsi="Times New Roman"/>
          <w:sz w:val="28"/>
          <w:szCs w:val="28"/>
          <w:lang w:eastAsia="uk-UA"/>
        </w:rPr>
        <w:t xml:space="preserve">. </w:t>
      </w:r>
      <w:r w:rsidRPr="001E3551">
        <w:rPr>
          <w:rFonts w:ascii="Times New Roman" w:eastAsia="Times New Roman" w:hAnsi="Times New Roman"/>
          <w:sz w:val="28"/>
          <w:szCs w:val="28"/>
          <w:lang w:eastAsia="uk-UA"/>
        </w:rPr>
        <w:t xml:space="preserve"> 2009</w:t>
      </w:r>
      <w:r>
        <w:rPr>
          <w:rFonts w:ascii="Times New Roman" w:eastAsia="Times New Roman" w:hAnsi="Times New Roman"/>
          <w:sz w:val="28"/>
          <w:szCs w:val="28"/>
          <w:lang w:eastAsia="uk-UA"/>
        </w:rPr>
        <w:t>. -</w:t>
      </w:r>
      <w:r w:rsidRPr="001E3551">
        <w:rPr>
          <w:rFonts w:ascii="Times New Roman" w:eastAsia="Times New Roman" w:hAnsi="Times New Roman"/>
          <w:sz w:val="28"/>
          <w:szCs w:val="28"/>
          <w:lang w:eastAsia="uk-UA"/>
        </w:rPr>
        <w:t xml:space="preserve"> №4 - с.</w:t>
      </w:r>
      <w:r>
        <w:rPr>
          <w:rFonts w:ascii="Times New Roman" w:eastAsia="Times New Roman" w:hAnsi="Times New Roman"/>
          <w:sz w:val="28"/>
          <w:szCs w:val="28"/>
          <w:lang w:eastAsia="uk-UA"/>
        </w:rPr>
        <w:t xml:space="preserve"> </w:t>
      </w:r>
      <w:r w:rsidRPr="001E3551">
        <w:rPr>
          <w:rFonts w:ascii="Times New Roman" w:eastAsia="Times New Roman" w:hAnsi="Times New Roman"/>
          <w:sz w:val="28"/>
          <w:szCs w:val="28"/>
          <w:lang w:eastAsia="uk-UA"/>
        </w:rPr>
        <w:t>31</w:t>
      </w:r>
      <w:r>
        <w:rPr>
          <w:rFonts w:ascii="Times New Roman" w:eastAsia="Times New Roman" w:hAnsi="Times New Roman"/>
          <w:sz w:val="28"/>
          <w:szCs w:val="28"/>
          <w:lang w:eastAsia="uk-UA"/>
        </w:rPr>
        <w:t>.</w:t>
      </w:r>
    </w:p>
    <w:p w:rsidR="001E3551" w:rsidRPr="001E3551" w:rsidRDefault="001E3551" w:rsidP="00365866">
      <w:pPr>
        <w:tabs>
          <w:tab w:val="left" w:pos="851"/>
        </w:tabs>
        <w:spacing w:after="0" w:line="240" w:lineRule="auto"/>
        <w:ind w:firstLine="567"/>
        <w:jc w:val="both"/>
        <w:rPr>
          <w:rFonts w:ascii="Times New Roman" w:eastAsia="Times New Roman" w:hAnsi="Times New Roman"/>
          <w:sz w:val="28"/>
          <w:szCs w:val="28"/>
          <w:lang w:eastAsia="uk-UA"/>
        </w:rPr>
      </w:pPr>
      <w:r w:rsidRPr="001E3551">
        <w:rPr>
          <w:rFonts w:ascii="Times New Roman" w:eastAsia="Times New Roman" w:hAnsi="Times New Roman"/>
          <w:sz w:val="28"/>
          <w:szCs w:val="28"/>
          <w:lang w:eastAsia="uk-UA"/>
        </w:rPr>
        <w:t> 7. Інформаційна довідка щодо розвитку фондового ринку  України протягом січня-жовтня 2016 року//Національна комісія з цінних паперів та фондового ринку</w:t>
      </w:r>
      <w:r>
        <w:rPr>
          <w:rFonts w:ascii="Times New Roman" w:eastAsia="Times New Roman" w:hAnsi="Times New Roman"/>
          <w:sz w:val="28"/>
          <w:szCs w:val="28"/>
          <w:lang w:eastAsia="uk-UA"/>
        </w:rPr>
        <w:t>.</w:t>
      </w:r>
      <w:r w:rsidRPr="001E3551">
        <w:rPr>
          <w:rFonts w:ascii="Times New Roman" w:eastAsia="Times New Roman" w:hAnsi="Times New Roman"/>
          <w:sz w:val="28"/>
          <w:szCs w:val="28"/>
          <w:lang w:eastAsia="uk-UA"/>
        </w:rPr>
        <w:t xml:space="preserve"> [Електронний ресурс]. – Режим доступу - </w:t>
      </w:r>
      <w:hyperlink r:id="rId6" w:history="1">
        <w:r w:rsidRPr="00C5386B">
          <w:rPr>
            <w:rFonts w:ascii="Times New Roman" w:eastAsia="Times New Roman" w:hAnsi="Times New Roman"/>
            <w:sz w:val="28"/>
            <w:szCs w:val="28"/>
            <w:u w:val="single"/>
            <w:lang w:eastAsia="uk-UA"/>
          </w:rPr>
          <w:t>http://www.nssmc.gov.ua/fund/analytics</w:t>
        </w:r>
      </w:hyperlink>
      <w:r w:rsidRPr="00C5386B">
        <w:rPr>
          <w:rFonts w:ascii="Times New Roman" w:eastAsia="Times New Roman" w:hAnsi="Times New Roman"/>
          <w:sz w:val="28"/>
          <w:szCs w:val="28"/>
          <w:lang w:eastAsia="uk-UA"/>
        </w:rPr>
        <w:t>.</w:t>
      </w:r>
    </w:p>
    <w:p w:rsidR="001E3551" w:rsidRPr="001E3551" w:rsidRDefault="001E3551" w:rsidP="00365866">
      <w:pPr>
        <w:tabs>
          <w:tab w:val="left" w:pos="851"/>
        </w:tabs>
        <w:spacing w:after="0" w:line="240" w:lineRule="auto"/>
        <w:ind w:firstLine="567"/>
        <w:jc w:val="both"/>
        <w:rPr>
          <w:rFonts w:ascii="Times New Roman" w:eastAsia="Times New Roman" w:hAnsi="Times New Roman"/>
          <w:sz w:val="28"/>
          <w:szCs w:val="28"/>
          <w:lang w:eastAsia="uk-UA"/>
        </w:rPr>
      </w:pPr>
      <w:r w:rsidRPr="001E3551">
        <w:rPr>
          <w:rFonts w:ascii="Times New Roman" w:eastAsia="Times New Roman" w:hAnsi="Times New Roman"/>
          <w:sz w:val="28"/>
          <w:szCs w:val="28"/>
          <w:lang w:eastAsia="uk-UA"/>
        </w:rPr>
        <w:t xml:space="preserve">8. </w:t>
      </w:r>
      <w:proofErr w:type="spellStart"/>
      <w:r w:rsidRPr="001E3551">
        <w:rPr>
          <w:rFonts w:ascii="Times New Roman" w:eastAsia="Times New Roman" w:hAnsi="Times New Roman"/>
          <w:sz w:val="28"/>
          <w:szCs w:val="28"/>
          <w:lang w:eastAsia="uk-UA"/>
        </w:rPr>
        <w:t>Бєдіна</w:t>
      </w:r>
      <w:proofErr w:type="spellEnd"/>
      <w:r w:rsidRPr="001E3551">
        <w:rPr>
          <w:rFonts w:ascii="Times New Roman" w:eastAsia="Times New Roman" w:hAnsi="Times New Roman"/>
          <w:sz w:val="28"/>
          <w:szCs w:val="28"/>
          <w:lang w:eastAsia="uk-UA"/>
        </w:rPr>
        <w:t xml:space="preserve"> </w:t>
      </w:r>
      <w:r w:rsidR="00C5386B">
        <w:rPr>
          <w:rFonts w:ascii="Times New Roman" w:eastAsia="Times New Roman" w:hAnsi="Times New Roman"/>
          <w:sz w:val="28"/>
          <w:szCs w:val="28"/>
          <w:lang w:eastAsia="uk-UA"/>
        </w:rPr>
        <w:t xml:space="preserve"> </w:t>
      </w:r>
      <w:r w:rsidRPr="001E3551">
        <w:rPr>
          <w:rFonts w:ascii="Times New Roman" w:eastAsia="Times New Roman" w:hAnsi="Times New Roman"/>
          <w:sz w:val="28"/>
          <w:szCs w:val="28"/>
          <w:lang w:eastAsia="uk-UA"/>
        </w:rPr>
        <w:t xml:space="preserve">Н.С. Стан, проблеми та перспективи розвитку фондового ринку України/ A.Н. </w:t>
      </w:r>
      <w:proofErr w:type="spellStart"/>
      <w:r w:rsidRPr="001E3551">
        <w:rPr>
          <w:rFonts w:ascii="Times New Roman" w:eastAsia="Times New Roman" w:hAnsi="Times New Roman"/>
          <w:sz w:val="28"/>
          <w:szCs w:val="28"/>
          <w:lang w:eastAsia="uk-UA"/>
        </w:rPr>
        <w:t>Бєдіна</w:t>
      </w:r>
      <w:proofErr w:type="spellEnd"/>
      <w:r w:rsidRPr="001E3551">
        <w:rPr>
          <w:rFonts w:ascii="Times New Roman" w:eastAsia="Times New Roman" w:hAnsi="Times New Roman"/>
          <w:sz w:val="28"/>
          <w:szCs w:val="28"/>
          <w:lang w:eastAsia="uk-UA"/>
        </w:rPr>
        <w:t xml:space="preserve"> // Економіка промисловості. - 2008. - №3. – С. 23-27.</w:t>
      </w:r>
    </w:p>
    <w:p w:rsidR="001E3551" w:rsidRPr="001E3551" w:rsidRDefault="001E3551" w:rsidP="00365866">
      <w:pPr>
        <w:tabs>
          <w:tab w:val="left" w:pos="851"/>
        </w:tabs>
        <w:spacing w:after="0" w:line="240" w:lineRule="auto"/>
        <w:ind w:firstLine="567"/>
        <w:jc w:val="both"/>
        <w:rPr>
          <w:rFonts w:ascii="Times New Roman" w:eastAsia="Times New Roman" w:hAnsi="Times New Roman"/>
          <w:sz w:val="28"/>
          <w:szCs w:val="28"/>
          <w:lang w:eastAsia="uk-UA"/>
        </w:rPr>
      </w:pPr>
      <w:r w:rsidRPr="001E3551">
        <w:rPr>
          <w:rFonts w:ascii="Times New Roman" w:eastAsia="Times New Roman" w:hAnsi="Times New Roman"/>
          <w:sz w:val="28"/>
          <w:szCs w:val="28"/>
          <w:lang w:eastAsia="uk-UA"/>
        </w:rPr>
        <w:t xml:space="preserve">9. </w:t>
      </w:r>
      <w:proofErr w:type="spellStart"/>
      <w:r w:rsidRPr="001E3551">
        <w:rPr>
          <w:rFonts w:ascii="Times New Roman" w:eastAsia="Times New Roman" w:hAnsi="Times New Roman"/>
          <w:sz w:val="28"/>
          <w:szCs w:val="28"/>
          <w:lang w:eastAsia="uk-UA"/>
        </w:rPr>
        <w:t>Гончарова</w:t>
      </w:r>
      <w:proofErr w:type="spellEnd"/>
      <w:r w:rsidRPr="001E3551">
        <w:rPr>
          <w:rFonts w:ascii="Times New Roman" w:eastAsia="Times New Roman" w:hAnsi="Times New Roman"/>
          <w:sz w:val="28"/>
          <w:szCs w:val="28"/>
          <w:lang w:eastAsia="uk-UA"/>
        </w:rPr>
        <w:t xml:space="preserve"> Н</w:t>
      </w:r>
      <w:r w:rsidR="00C5386B">
        <w:rPr>
          <w:rFonts w:ascii="Times New Roman" w:eastAsia="Times New Roman" w:hAnsi="Times New Roman"/>
          <w:sz w:val="28"/>
          <w:szCs w:val="28"/>
          <w:lang w:eastAsia="uk-UA"/>
        </w:rPr>
        <w:t>.</w:t>
      </w:r>
      <w:r w:rsidRPr="001E3551">
        <w:rPr>
          <w:rFonts w:ascii="Times New Roman" w:eastAsia="Times New Roman" w:hAnsi="Times New Roman"/>
          <w:sz w:val="28"/>
          <w:szCs w:val="28"/>
          <w:lang w:eastAsia="uk-UA"/>
        </w:rPr>
        <w:t>В</w:t>
      </w:r>
      <w:r w:rsidR="00C5386B">
        <w:rPr>
          <w:rFonts w:ascii="Times New Roman" w:eastAsia="Times New Roman" w:hAnsi="Times New Roman"/>
          <w:sz w:val="28"/>
          <w:szCs w:val="28"/>
          <w:lang w:eastAsia="uk-UA"/>
        </w:rPr>
        <w:t>.</w:t>
      </w:r>
      <w:r w:rsidRPr="001E3551">
        <w:rPr>
          <w:rFonts w:ascii="Times New Roman" w:eastAsia="Times New Roman" w:hAnsi="Times New Roman"/>
          <w:sz w:val="28"/>
          <w:szCs w:val="28"/>
          <w:lang w:eastAsia="uk-UA"/>
        </w:rPr>
        <w:t xml:space="preserve"> Проблеми функціонування ринку цінних паперів Україні /</w:t>
      </w:r>
      <w:r>
        <w:rPr>
          <w:rFonts w:ascii="Times New Roman" w:eastAsia="Times New Roman" w:hAnsi="Times New Roman"/>
          <w:sz w:val="28"/>
          <w:szCs w:val="28"/>
          <w:lang w:eastAsia="uk-UA"/>
        </w:rPr>
        <w:t xml:space="preserve"> </w:t>
      </w:r>
      <w:r w:rsidRPr="001E3551">
        <w:rPr>
          <w:rFonts w:ascii="Times New Roman" w:eastAsia="Times New Roman" w:hAnsi="Times New Roman"/>
          <w:sz w:val="28"/>
          <w:szCs w:val="28"/>
          <w:lang w:eastAsia="uk-UA"/>
        </w:rPr>
        <w:t xml:space="preserve">Н.В. </w:t>
      </w:r>
      <w:proofErr w:type="spellStart"/>
      <w:r w:rsidRPr="001E3551">
        <w:rPr>
          <w:rFonts w:ascii="Times New Roman" w:eastAsia="Times New Roman" w:hAnsi="Times New Roman"/>
          <w:sz w:val="28"/>
          <w:szCs w:val="28"/>
          <w:lang w:eastAsia="uk-UA"/>
        </w:rPr>
        <w:t>Гончарова</w:t>
      </w:r>
      <w:proofErr w:type="spellEnd"/>
      <w:r w:rsidRPr="001E3551">
        <w:rPr>
          <w:rFonts w:ascii="Times New Roman" w:eastAsia="Times New Roman" w:hAnsi="Times New Roman"/>
          <w:sz w:val="28"/>
          <w:szCs w:val="28"/>
          <w:lang w:eastAsia="uk-UA"/>
        </w:rPr>
        <w:t xml:space="preserve"> //</w:t>
      </w:r>
      <w:r>
        <w:rPr>
          <w:rFonts w:ascii="Times New Roman" w:eastAsia="Times New Roman" w:hAnsi="Times New Roman"/>
          <w:sz w:val="28"/>
          <w:szCs w:val="28"/>
          <w:lang w:eastAsia="uk-UA"/>
        </w:rPr>
        <w:t xml:space="preserve"> </w:t>
      </w:r>
      <w:r w:rsidRPr="001E3551">
        <w:rPr>
          <w:rFonts w:ascii="Times New Roman" w:eastAsia="Times New Roman" w:hAnsi="Times New Roman"/>
          <w:sz w:val="28"/>
          <w:szCs w:val="28"/>
          <w:lang w:eastAsia="uk-UA"/>
        </w:rPr>
        <w:t>Формування ринкових відносин в Україні. – 2008.– № 5 (84). – с. 15–18.</w:t>
      </w:r>
    </w:p>
    <w:p w:rsidR="001E3551" w:rsidRPr="001E3551" w:rsidRDefault="001E3551" w:rsidP="00365866">
      <w:pPr>
        <w:tabs>
          <w:tab w:val="left" w:pos="851"/>
        </w:tabs>
        <w:spacing w:after="0" w:line="240" w:lineRule="auto"/>
        <w:ind w:firstLine="567"/>
        <w:jc w:val="both"/>
        <w:rPr>
          <w:rFonts w:ascii="Times New Roman" w:eastAsia="Times New Roman" w:hAnsi="Times New Roman"/>
          <w:sz w:val="28"/>
          <w:szCs w:val="28"/>
          <w:lang w:eastAsia="uk-UA"/>
        </w:rPr>
      </w:pPr>
      <w:r w:rsidRPr="001E3551">
        <w:rPr>
          <w:rFonts w:ascii="Times New Roman" w:eastAsia="Times New Roman" w:hAnsi="Times New Roman"/>
          <w:sz w:val="28"/>
          <w:szCs w:val="28"/>
          <w:lang w:eastAsia="uk-UA"/>
        </w:rPr>
        <w:t xml:space="preserve">10.  </w:t>
      </w:r>
      <w:proofErr w:type="spellStart"/>
      <w:r w:rsidRPr="001E3551">
        <w:rPr>
          <w:rFonts w:ascii="Times New Roman" w:eastAsia="Times New Roman" w:hAnsi="Times New Roman"/>
          <w:sz w:val="28"/>
          <w:szCs w:val="28"/>
          <w:lang w:eastAsia="uk-UA"/>
        </w:rPr>
        <w:t>Меньшикова</w:t>
      </w:r>
      <w:proofErr w:type="spellEnd"/>
      <w:r w:rsidRPr="001E3551">
        <w:rPr>
          <w:rFonts w:ascii="Times New Roman" w:eastAsia="Times New Roman" w:hAnsi="Times New Roman"/>
          <w:sz w:val="28"/>
          <w:szCs w:val="28"/>
          <w:lang w:eastAsia="uk-UA"/>
        </w:rPr>
        <w:t xml:space="preserve"> А. Регулювання ринку цінних паперів у Європейському Союзі. / А. </w:t>
      </w:r>
      <w:proofErr w:type="spellStart"/>
      <w:r w:rsidRPr="001E3551">
        <w:rPr>
          <w:rFonts w:ascii="Times New Roman" w:eastAsia="Times New Roman" w:hAnsi="Times New Roman"/>
          <w:sz w:val="28"/>
          <w:szCs w:val="28"/>
          <w:lang w:eastAsia="uk-UA"/>
        </w:rPr>
        <w:t>Меньшикова</w:t>
      </w:r>
      <w:proofErr w:type="spellEnd"/>
      <w:r w:rsidRPr="001E3551">
        <w:rPr>
          <w:rFonts w:ascii="Times New Roman" w:eastAsia="Times New Roman" w:hAnsi="Times New Roman"/>
          <w:sz w:val="28"/>
          <w:szCs w:val="28"/>
          <w:lang w:eastAsia="uk-UA"/>
        </w:rPr>
        <w:t>// Фінансовий ринок України. – 2009. -  № 6. – С. 22-24.</w:t>
      </w:r>
    </w:p>
    <w:p w:rsidR="001E3551" w:rsidRPr="001E3551" w:rsidRDefault="001E3551" w:rsidP="00365866">
      <w:pPr>
        <w:tabs>
          <w:tab w:val="left" w:pos="851"/>
        </w:tabs>
        <w:spacing w:after="0" w:line="240" w:lineRule="auto"/>
        <w:ind w:firstLine="567"/>
        <w:jc w:val="both"/>
        <w:rPr>
          <w:rFonts w:ascii="Times New Roman" w:eastAsia="Times New Roman" w:hAnsi="Times New Roman"/>
          <w:sz w:val="28"/>
          <w:szCs w:val="28"/>
          <w:lang w:eastAsia="uk-UA"/>
        </w:rPr>
      </w:pPr>
      <w:r w:rsidRPr="001E3551">
        <w:rPr>
          <w:rFonts w:ascii="Times New Roman" w:eastAsia="Times New Roman" w:hAnsi="Times New Roman"/>
          <w:sz w:val="28"/>
          <w:szCs w:val="28"/>
          <w:lang w:eastAsia="uk-UA"/>
        </w:rPr>
        <w:t xml:space="preserve">11. </w:t>
      </w:r>
      <w:proofErr w:type="spellStart"/>
      <w:r w:rsidRPr="001E3551">
        <w:rPr>
          <w:rFonts w:ascii="Times New Roman" w:eastAsia="Times New Roman" w:hAnsi="Times New Roman"/>
          <w:sz w:val="28"/>
          <w:szCs w:val="28"/>
          <w:lang w:eastAsia="uk-UA"/>
        </w:rPr>
        <w:t>Калюга</w:t>
      </w:r>
      <w:proofErr w:type="spellEnd"/>
      <w:r w:rsidRPr="001E3551">
        <w:rPr>
          <w:rFonts w:ascii="Times New Roman" w:eastAsia="Times New Roman" w:hAnsi="Times New Roman"/>
          <w:sz w:val="28"/>
          <w:szCs w:val="28"/>
          <w:lang w:eastAsia="uk-UA"/>
        </w:rPr>
        <w:t xml:space="preserve"> О.О. Державне регулювання фондового ринку в Україні: проблеми і шляхи вирішення/ О</w:t>
      </w:r>
      <w:r w:rsidRPr="001E3551">
        <w:rPr>
          <w:rFonts w:ascii="Times New Roman Cyr" w:eastAsia="Times New Roman" w:hAnsi="Times New Roman Cyr"/>
          <w:sz w:val="28"/>
          <w:szCs w:val="28"/>
          <w:lang w:eastAsia="uk-UA"/>
        </w:rPr>
        <w:t xml:space="preserve">.О. </w:t>
      </w:r>
      <w:proofErr w:type="spellStart"/>
      <w:r w:rsidRPr="001E3551">
        <w:rPr>
          <w:rFonts w:ascii="Times New Roman Cyr" w:eastAsia="Times New Roman" w:hAnsi="Times New Roman Cyr"/>
          <w:sz w:val="28"/>
          <w:szCs w:val="28"/>
          <w:lang w:eastAsia="uk-UA"/>
        </w:rPr>
        <w:t>Калюга</w:t>
      </w:r>
      <w:proofErr w:type="spellEnd"/>
      <w:r w:rsidRPr="001E3551">
        <w:rPr>
          <w:rFonts w:ascii="Times New Roman Cyr" w:eastAsia="Times New Roman" w:hAnsi="Times New Roman Cyr"/>
          <w:sz w:val="28"/>
          <w:szCs w:val="28"/>
          <w:lang w:eastAsia="uk-UA"/>
        </w:rPr>
        <w:t xml:space="preserve">// Теорія та практика державного управління. – Вип. 2 (37). </w:t>
      </w:r>
      <w:r w:rsidRPr="001E3551">
        <w:rPr>
          <w:rFonts w:ascii="Times New Roman Cyr" w:hAnsi="Times New Roman Cyr"/>
          <w:sz w:val="28"/>
          <w:szCs w:val="28"/>
        </w:rPr>
        <w:t xml:space="preserve">- С. 270-276. </w:t>
      </w:r>
      <w:r w:rsidRPr="001E3551">
        <w:rPr>
          <w:rFonts w:ascii="Times New Roman Cyr" w:eastAsia="Times New Roman" w:hAnsi="Times New Roman Cyr"/>
          <w:sz w:val="28"/>
          <w:szCs w:val="28"/>
          <w:lang w:eastAsia="uk-UA"/>
        </w:rPr>
        <w:t xml:space="preserve">[Електронний ресурс]. – </w:t>
      </w:r>
      <w:r w:rsidRPr="001E3551">
        <w:rPr>
          <w:rFonts w:ascii="Times New Roman Cyr" w:hAnsi="Times New Roman Cyr"/>
          <w:sz w:val="28"/>
          <w:szCs w:val="28"/>
        </w:rPr>
        <w:t xml:space="preserve"> Режим доступу: http://nbuv.gov.ua/UJRN/</w:t>
      </w:r>
      <w:r w:rsidRPr="001E3551">
        <w:rPr>
          <w:rFonts w:ascii="Times New Roman Cyr" w:hAnsi="Times New Roman Cyr"/>
          <w:bCs/>
          <w:sz w:val="28"/>
          <w:szCs w:val="28"/>
        </w:rPr>
        <w:t>Tpdu</w:t>
      </w:r>
      <w:r w:rsidRPr="001E3551">
        <w:rPr>
          <w:rFonts w:ascii="Times New Roman Cyr" w:hAnsi="Times New Roman Cyr"/>
          <w:sz w:val="28"/>
          <w:szCs w:val="28"/>
        </w:rPr>
        <w:t>_2012_2_42.</w:t>
      </w:r>
      <w:r w:rsidRPr="001E3551">
        <w:rPr>
          <w:rFonts w:ascii="Times New Roman Cyr" w:hAnsi="Times New Roman Cyr"/>
          <w:sz w:val="28"/>
          <w:szCs w:val="28"/>
          <w:shd w:val="clear" w:color="auto" w:fill="F9F9F9"/>
        </w:rPr>
        <w:t> </w:t>
      </w:r>
    </w:p>
    <w:p w:rsidR="001E3551" w:rsidRPr="0078681B" w:rsidRDefault="001E3551" w:rsidP="0003450F">
      <w:pPr>
        <w:pStyle w:val="10"/>
        <w:keepNext/>
        <w:keepLines/>
        <w:shd w:val="clear" w:color="auto" w:fill="auto"/>
        <w:spacing w:before="0" w:line="240" w:lineRule="auto"/>
        <w:ind w:firstLine="567"/>
        <w:jc w:val="center"/>
        <w:rPr>
          <w:b/>
          <w:sz w:val="28"/>
          <w:szCs w:val="28"/>
        </w:rPr>
      </w:pPr>
    </w:p>
    <w:sectPr w:rsidR="001E3551" w:rsidRPr="0078681B" w:rsidSect="001E355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6AFA"/>
    <w:multiLevelType w:val="hybridMultilevel"/>
    <w:tmpl w:val="9BA80CCE"/>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5BEE0F58"/>
    <w:multiLevelType w:val="hybridMultilevel"/>
    <w:tmpl w:val="A33E30E8"/>
    <w:lvl w:ilvl="0" w:tplc="16AE88E0">
      <w:start w:val="1"/>
      <w:numFmt w:val="decimal"/>
      <w:lvlText w:val="%1."/>
      <w:lvlJc w:val="left"/>
      <w:pPr>
        <w:ind w:left="644" w:hanging="360"/>
      </w:pPr>
      <w:rPr>
        <w:rFonts w:ascii="Times New Roman" w:hAnsi="Times New Roman" w:cs="Times New Roman" w:hint="default"/>
        <w:b w:val="0"/>
        <w:sz w:val="28"/>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45A"/>
    <w:rsid w:val="00002EBD"/>
    <w:rsid w:val="0003450F"/>
    <w:rsid w:val="001349F9"/>
    <w:rsid w:val="001E3551"/>
    <w:rsid w:val="00365866"/>
    <w:rsid w:val="00524855"/>
    <w:rsid w:val="00526E5D"/>
    <w:rsid w:val="00A77DCB"/>
    <w:rsid w:val="00BD645A"/>
    <w:rsid w:val="00C5386B"/>
    <w:rsid w:val="00CF7E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50F"/>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50F"/>
    <w:pPr>
      <w:ind w:left="720"/>
      <w:contextualSpacing/>
    </w:pPr>
  </w:style>
  <w:style w:type="character" w:customStyle="1" w:styleId="1">
    <w:name w:val="Заголовок №1_"/>
    <w:link w:val="10"/>
    <w:rsid w:val="0003450F"/>
    <w:rPr>
      <w:rFonts w:ascii="Times New Roman" w:eastAsia="Times New Roman" w:hAnsi="Times New Roman" w:cs="Times New Roman"/>
      <w:shd w:val="clear" w:color="auto" w:fill="FFFFFF"/>
    </w:rPr>
  </w:style>
  <w:style w:type="paragraph" w:customStyle="1" w:styleId="10">
    <w:name w:val="Заголовок №1"/>
    <w:basedOn w:val="a"/>
    <w:link w:val="1"/>
    <w:rsid w:val="0003450F"/>
    <w:pPr>
      <w:shd w:val="clear" w:color="auto" w:fill="FFFFFF"/>
      <w:spacing w:before="240" w:after="0" w:line="0" w:lineRule="atLeast"/>
      <w:outlineLvl w:val="0"/>
    </w:pPr>
    <w:rPr>
      <w:rFonts w:ascii="Times New Roman" w:eastAsia="Times New Roman" w:hAnsi="Times New Roman"/>
    </w:rPr>
  </w:style>
  <w:style w:type="paragraph" w:styleId="a4">
    <w:name w:val="Balloon Text"/>
    <w:basedOn w:val="a"/>
    <w:link w:val="a5"/>
    <w:uiPriority w:val="99"/>
    <w:semiHidden/>
    <w:unhideWhenUsed/>
    <w:rsid w:val="0003450F"/>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03450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50F"/>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50F"/>
    <w:pPr>
      <w:ind w:left="720"/>
      <w:contextualSpacing/>
    </w:pPr>
  </w:style>
  <w:style w:type="character" w:customStyle="1" w:styleId="1">
    <w:name w:val="Заголовок №1_"/>
    <w:link w:val="10"/>
    <w:rsid w:val="0003450F"/>
    <w:rPr>
      <w:rFonts w:ascii="Times New Roman" w:eastAsia="Times New Roman" w:hAnsi="Times New Roman" w:cs="Times New Roman"/>
      <w:shd w:val="clear" w:color="auto" w:fill="FFFFFF"/>
    </w:rPr>
  </w:style>
  <w:style w:type="paragraph" w:customStyle="1" w:styleId="10">
    <w:name w:val="Заголовок №1"/>
    <w:basedOn w:val="a"/>
    <w:link w:val="1"/>
    <w:rsid w:val="0003450F"/>
    <w:pPr>
      <w:shd w:val="clear" w:color="auto" w:fill="FFFFFF"/>
      <w:spacing w:before="240" w:after="0" w:line="0" w:lineRule="atLeast"/>
      <w:outlineLvl w:val="0"/>
    </w:pPr>
    <w:rPr>
      <w:rFonts w:ascii="Times New Roman" w:eastAsia="Times New Roman" w:hAnsi="Times New Roman"/>
    </w:rPr>
  </w:style>
  <w:style w:type="paragraph" w:styleId="a4">
    <w:name w:val="Balloon Text"/>
    <w:basedOn w:val="a"/>
    <w:link w:val="a5"/>
    <w:uiPriority w:val="99"/>
    <w:semiHidden/>
    <w:unhideWhenUsed/>
    <w:rsid w:val="0003450F"/>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03450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ssmc.gov.ua/fund/analytic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4247</Words>
  <Characters>2422</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home</Company>
  <LinksUpToDate>false</LinksUpToDate>
  <CharactersWithSpaces>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2017-02-03T16:12:00Z</dcterms:created>
  <dcterms:modified xsi:type="dcterms:W3CDTF">2017-02-03T18:22:00Z</dcterms:modified>
</cp:coreProperties>
</file>